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A7C" w:rsidRPr="005F2289" w:rsidRDefault="00111A7C" w:rsidP="001F6A21">
      <w:pPr>
        <w:jc w:val="center"/>
        <w:rPr>
          <w:rFonts w:cs="Arial"/>
          <w:b/>
          <w:sz w:val="28"/>
          <w:szCs w:val="28"/>
          <w:lang w:val="en-US"/>
        </w:rPr>
      </w:pPr>
      <w:r w:rsidRPr="005F2289">
        <w:rPr>
          <w:rFonts w:cs="Arial"/>
          <w:b/>
          <w:sz w:val="28"/>
          <w:szCs w:val="28"/>
          <w:lang w:val="en-US"/>
        </w:rPr>
        <w:t xml:space="preserve">Turkish </w:t>
      </w:r>
      <w:r w:rsidR="00C0507D" w:rsidRPr="005F2289">
        <w:rPr>
          <w:rFonts w:cs="Arial"/>
          <w:b/>
          <w:sz w:val="28"/>
          <w:szCs w:val="28"/>
          <w:lang w:val="en-US"/>
        </w:rPr>
        <w:t xml:space="preserve">Economy and </w:t>
      </w:r>
      <w:r w:rsidRPr="005F2289">
        <w:rPr>
          <w:rFonts w:cs="Arial"/>
          <w:b/>
          <w:sz w:val="28"/>
          <w:szCs w:val="28"/>
          <w:lang w:val="en-US"/>
        </w:rPr>
        <w:t>Banking System in 2010-2011</w:t>
      </w:r>
      <w:r w:rsidRPr="005F2289">
        <w:rPr>
          <w:rStyle w:val="FootnoteReference"/>
          <w:rFonts w:cs="Arial"/>
          <w:b/>
          <w:sz w:val="28"/>
          <w:szCs w:val="28"/>
          <w:lang w:val="en-US"/>
        </w:rPr>
        <w:footnoteReference w:id="1"/>
      </w:r>
    </w:p>
    <w:p w:rsidR="00111A7C" w:rsidRPr="005F2289" w:rsidRDefault="00111A7C" w:rsidP="00111A7C">
      <w:pPr>
        <w:jc w:val="both"/>
        <w:rPr>
          <w:rFonts w:cs="Arial"/>
          <w:b/>
          <w:sz w:val="24"/>
          <w:lang w:val="en-US"/>
        </w:rPr>
      </w:pPr>
    </w:p>
    <w:p w:rsidR="003377DD" w:rsidRPr="005F2289" w:rsidRDefault="003377DD" w:rsidP="003377DD">
      <w:pPr>
        <w:rPr>
          <w:rFonts w:cs="Arial"/>
          <w:b/>
          <w:sz w:val="24"/>
          <w:lang w:val="en-US"/>
        </w:rPr>
      </w:pPr>
      <w:r w:rsidRPr="005F2289">
        <w:rPr>
          <w:rFonts w:cs="Arial"/>
          <w:b/>
          <w:sz w:val="24"/>
          <w:lang w:val="en-US"/>
        </w:rPr>
        <w:t>Economic Outlook in 2011</w:t>
      </w:r>
    </w:p>
    <w:p w:rsidR="00715CC0" w:rsidRPr="005F2289" w:rsidRDefault="00715CC0" w:rsidP="00095123">
      <w:pPr>
        <w:jc w:val="both"/>
        <w:rPr>
          <w:rFonts w:cs="Arial"/>
          <w:sz w:val="24"/>
          <w:lang w:val="en-US"/>
        </w:rPr>
      </w:pPr>
    </w:p>
    <w:p w:rsidR="00EB4483" w:rsidRPr="005F2289" w:rsidRDefault="00EB4483" w:rsidP="00C0507D">
      <w:pPr>
        <w:jc w:val="both"/>
        <w:rPr>
          <w:rFonts w:cs="Arial"/>
          <w:b/>
          <w:lang w:val="en-US"/>
        </w:rPr>
      </w:pPr>
      <w:r w:rsidRPr="005F2289">
        <w:rPr>
          <w:rFonts w:cs="Arial"/>
          <w:b/>
          <w:lang w:val="en-US"/>
        </w:rPr>
        <w:t xml:space="preserve">Economic activity in Turkey increased in 2011 </w:t>
      </w:r>
    </w:p>
    <w:p w:rsidR="00EB4483" w:rsidRPr="005F2289" w:rsidRDefault="00EB4483" w:rsidP="00C0507D">
      <w:pPr>
        <w:jc w:val="both"/>
        <w:rPr>
          <w:rFonts w:cs="Arial"/>
          <w:lang w:val="en-US"/>
        </w:rPr>
      </w:pPr>
    </w:p>
    <w:p w:rsidR="00C0507D" w:rsidRPr="005F2289" w:rsidRDefault="00C0507D" w:rsidP="00C0507D">
      <w:pPr>
        <w:jc w:val="both"/>
        <w:rPr>
          <w:rFonts w:cs="Arial"/>
          <w:szCs w:val="22"/>
          <w:lang w:val="en-US"/>
        </w:rPr>
      </w:pPr>
      <w:r w:rsidRPr="005F2289">
        <w:rPr>
          <w:rFonts w:cs="Arial"/>
          <w:szCs w:val="22"/>
          <w:lang w:val="en-US"/>
        </w:rPr>
        <w:t xml:space="preserve">Due to its credibility and stability, Turkish economy has well performed in terms of a high </w:t>
      </w:r>
      <w:proofErr w:type="spellStart"/>
      <w:r w:rsidRPr="005F2289">
        <w:rPr>
          <w:rFonts w:cs="Arial"/>
          <w:szCs w:val="22"/>
          <w:lang w:val="en-US"/>
        </w:rPr>
        <w:t>gdp</w:t>
      </w:r>
      <w:proofErr w:type="spellEnd"/>
      <w:r w:rsidRPr="005F2289">
        <w:rPr>
          <w:rFonts w:cs="Arial"/>
          <w:szCs w:val="22"/>
          <w:lang w:val="en-US"/>
        </w:rPr>
        <w:t xml:space="preserve"> growth and a lower unemployment rate at an environment of continuing endeavor to ensure international markets stability and accelerate economic growth. The major factors that influence the economical performances are declining public sector deficit and lower debt stock as percentage of </w:t>
      </w:r>
      <w:proofErr w:type="spellStart"/>
      <w:r w:rsidRPr="005F2289">
        <w:rPr>
          <w:rFonts w:cs="Arial"/>
          <w:szCs w:val="22"/>
          <w:lang w:val="en-US"/>
        </w:rPr>
        <w:t>gdp</w:t>
      </w:r>
      <w:proofErr w:type="spellEnd"/>
      <w:r w:rsidRPr="005F2289">
        <w:rPr>
          <w:rFonts w:cs="Arial"/>
          <w:szCs w:val="22"/>
          <w:lang w:val="en-US"/>
        </w:rPr>
        <w:t xml:space="preserve">, low level of </w:t>
      </w:r>
      <w:proofErr w:type="spellStart"/>
      <w:r w:rsidRPr="005F2289">
        <w:rPr>
          <w:rFonts w:cs="Arial"/>
          <w:szCs w:val="22"/>
          <w:lang w:val="en-US"/>
        </w:rPr>
        <w:t>inflationin</w:t>
      </w:r>
      <w:proofErr w:type="spellEnd"/>
      <w:r w:rsidRPr="005F2289">
        <w:rPr>
          <w:rFonts w:cs="Arial"/>
          <w:szCs w:val="22"/>
          <w:lang w:val="en-US"/>
        </w:rPr>
        <w:t xml:space="preserve"> line with the targeted price stability, </w:t>
      </w:r>
      <w:proofErr w:type="spellStart"/>
      <w:r w:rsidRPr="005F2289">
        <w:rPr>
          <w:rFonts w:cs="Arial"/>
          <w:szCs w:val="22"/>
          <w:lang w:val="en-US"/>
        </w:rPr>
        <w:t>rapidc</w:t>
      </w:r>
      <w:proofErr w:type="spellEnd"/>
      <w:r w:rsidRPr="005F2289">
        <w:rPr>
          <w:rFonts w:cs="Arial"/>
          <w:szCs w:val="22"/>
          <w:lang w:val="en-US"/>
        </w:rPr>
        <w:t xml:space="preserve"> </w:t>
      </w:r>
      <w:proofErr w:type="spellStart"/>
      <w:r w:rsidRPr="005F2289">
        <w:rPr>
          <w:rFonts w:cs="Arial"/>
          <w:szCs w:val="22"/>
          <w:lang w:val="en-US"/>
        </w:rPr>
        <w:t>apital</w:t>
      </w:r>
      <w:proofErr w:type="spellEnd"/>
      <w:r w:rsidRPr="005F2289">
        <w:rPr>
          <w:rFonts w:cs="Arial"/>
          <w:szCs w:val="22"/>
          <w:lang w:val="en-US"/>
        </w:rPr>
        <w:t xml:space="preserve"> inflow and strong and functional financial sector.</w:t>
      </w:r>
    </w:p>
    <w:p w:rsidR="00C0507D" w:rsidRPr="005F2289" w:rsidRDefault="00C0507D" w:rsidP="00095123">
      <w:pPr>
        <w:jc w:val="both"/>
        <w:rPr>
          <w:rFonts w:cs="Arial"/>
          <w:lang w:val="en-US"/>
        </w:rPr>
      </w:pPr>
    </w:p>
    <w:p w:rsidR="003377DD" w:rsidRPr="005F2289" w:rsidRDefault="003377DD" w:rsidP="00095123">
      <w:pPr>
        <w:jc w:val="both"/>
        <w:rPr>
          <w:rFonts w:cs="Arial"/>
          <w:lang w:val="en-US"/>
        </w:rPr>
      </w:pPr>
      <w:r w:rsidRPr="005F2289">
        <w:rPr>
          <w:rFonts w:cs="Arial"/>
          <w:lang w:val="en-US"/>
        </w:rPr>
        <w:t xml:space="preserve">GDP increased by 9 percent annually in real terms </w:t>
      </w:r>
      <w:r w:rsidR="00C0507D" w:rsidRPr="005F2289">
        <w:rPr>
          <w:rFonts w:cs="Arial"/>
          <w:lang w:val="en-US"/>
        </w:rPr>
        <w:t>as of</w:t>
      </w:r>
      <w:r w:rsidRPr="005F2289">
        <w:rPr>
          <w:rFonts w:cs="Arial"/>
          <w:lang w:val="en-US"/>
        </w:rPr>
        <w:t xml:space="preserve"> June 2011. Growth rate is expected to be realized at 7</w:t>
      </w:r>
      <w:r w:rsidR="00C0507D" w:rsidRPr="005F2289">
        <w:rPr>
          <w:rFonts w:cs="Arial"/>
          <w:lang w:val="en-US"/>
        </w:rPr>
        <w:t>.5</w:t>
      </w:r>
      <w:r w:rsidRPr="005F2289">
        <w:rPr>
          <w:rFonts w:cs="Arial"/>
          <w:lang w:val="en-US"/>
        </w:rPr>
        <w:t xml:space="preserve"> percent level by the end of 2011.</w:t>
      </w:r>
    </w:p>
    <w:p w:rsidR="00EB4483" w:rsidRPr="005F2289" w:rsidRDefault="00EB4483" w:rsidP="00EB4483">
      <w:pPr>
        <w:jc w:val="both"/>
        <w:rPr>
          <w:lang w:val="en-US"/>
        </w:rPr>
      </w:pPr>
    </w:p>
    <w:p w:rsidR="00EB4483" w:rsidRPr="005F2289" w:rsidRDefault="00EB4483" w:rsidP="00EB4483">
      <w:pPr>
        <w:jc w:val="both"/>
        <w:rPr>
          <w:lang w:val="en-US"/>
        </w:rPr>
      </w:pPr>
      <w:r w:rsidRPr="005F2289">
        <w:rPr>
          <w:lang w:val="en-US"/>
        </w:rPr>
        <w:t xml:space="preserve">While European Union countries have been struggling with public sector debt problems, Turkey has strongly managed its budget performance. Low public debt to </w:t>
      </w:r>
      <w:proofErr w:type="spellStart"/>
      <w:r w:rsidRPr="005F2289">
        <w:rPr>
          <w:lang w:val="en-US"/>
        </w:rPr>
        <w:t>gdp</w:t>
      </w:r>
      <w:proofErr w:type="spellEnd"/>
      <w:r w:rsidRPr="005F2289">
        <w:rPr>
          <w:lang w:val="en-US"/>
        </w:rPr>
        <w:t xml:space="preserve"> ratio, decrease in the public borrowing sector demand, relatively low household debt to </w:t>
      </w:r>
      <w:proofErr w:type="spellStart"/>
      <w:r w:rsidRPr="005F2289">
        <w:rPr>
          <w:lang w:val="en-US"/>
        </w:rPr>
        <w:t>gdp</w:t>
      </w:r>
      <w:proofErr w:type="spellEnd"/>
      <w:r w:rsidRPr="005F2289">
        <w:rPr>
          <w:lang w:val="en-US"/>
        </w:rPr>
        <w:t xml:space="preserve"> ratio and loan stock to </w:t>
      </w:r>
      <w:proofErr w:type="spellStart"/>
      <w:r w:rsidRPr="005F2289">
        <w:rPr>
          <w:lang w:val="en-US"/>
        </w:rPr>
        <w:t>gdp</w:t>
      </w:r>
      <w:proofErr w:type="spellEnd"/>
      <w:r w:rsidRPr="005F2289">
        <w:rPr>
          <w:lang w:val="en-US"/>
        </w:rPr>
        <w:t xml:space="preserve"> ratio compared to European countries have reinforced the credibility of Turkish economy.</w:t>
      </w:r>
    </w:p>
    <w:p w:rsidR="00C0507D" w:rsidRPr="005F2289" w:rsidRDefault="00C0507D" w:rsidP="00095123">
      <w:pPr>
        <w:jc w:val="both"/>
        <w:rPr>
          <w:rFonts w:cs="Arial"/>
          <w:lang w:val="en-US"/>
        </w:rPr>
      </w:pPr>
    </w:p>
    <w:p w:rsidR="003377DD" w:rsidRPr="005F2289" w:rsidRDefault="003377DD" w:rsidP="00095123">
      <w:pPr>
        <w:jc w:val="both"/>
        <w:rPr>
          <w:rFonts w:cs="Arial"/>
          <w:lang w:val="en-US"/>
        </w:rPr>
      </w:pPr>
      <w:r w:rsidRPr="005F2289">
        <w:rPr>
          <w:rFonts w:cs="Arial"/>
          <w:lang w:val="en-US"/>
        </w:rPr>
        <w:t xml:space="preserve">On the other hand the rapid </w:t>
      </w:r>
      <w:r w:rsidR="00C0507D" w:rsidRPr="005F2289">
        <w:rPr>
          <w:rFonts w:cs="Arial"/>
          <w:lang w:val="en-US"/>
        </w:rPr>
        <w:t xml:space="preserve">economic </w:t>
      </w:r>
      <w:r w:rsidRPr="005F2289">
        <w:rPr>
          <w:rFonts w:cs="Arial"/>
          <w:lang w:val="en-US"/>
        </w:rPr>
        <w:t xml:space="preserve">growth is financed mainly by </w:t>
      </w:r>
      <w:r w:rsidR="00C0507D" w:rsidRPr="005F2289">
        <w:rPr>
          <w:rFonts w:cs="Arial"/>
          <w:lang w:val="en-US"/>
        </w:rPr>
        <w:t>capital</w:t>
      </w:r>
      <w:r w:rsidRPr="005F2289">
        <w:rPr>
          <w:rFonts w:cs="Arial"/>
          <w:lang w:val="en-US"/>
        </w:rPr>
        <w:t xml:space="preserve"> inflows due to the low level of domestic savings. As a result of this, the ratio of current account deficit to GDP increased to 9</w:t>
      </w:r>
      <w:proofErr w:type="gramStart"/>
      <w:r w:rsidRPr="005F2289">
        <w:rPr>
          <w:rFonts w:cs="Arial"/>
          <w:lang w:val="en-US"/>
        </w:rPr>
        <w:t>,5</w:t>
      </w:r>
      <w:proofErr w:type="gramEnd"/>
      <w:r w:rsidRPr="005F2289">
        <w:rPr>
          <w:rFonts w:cs="Arial"/>
          <w:lang w:val="en-US"/>
        </w:rPr>
        <w:t xml:space="preserve"> percent </w:t>
      </w:r>
      <w:r w:rsidR="00C0507D" w:rsidRPr="005F2289">
        <w:rPr>
          <w:rFonts w:cs="Arial"/>
          <w:lang w:val="en-US"/>
        </w:rPr>
        <w:t>as of</w:t>
      </w:r>
      <w:r w:rsidRPr="005F2289">
        <w:rPr>
          <w:rFonts w:cs="Arial"/>
          <w:lang w:val="en-US"/>
        </w:rPr>
        <w:t xml:space="preserve"> June 2011.</w:t>
      </w:r>
    </w:p>
    <w:p w:rsidR="003377DD" w:rsidRPr="005F2289" w:rsidRDefault="003377DD" w:rsidP="00095123">
      <w:pPr>
        <w:jc w:val="both"/>
        <w:rPr>
          <w:rFonts w:cs="Arial"/>
          <w:lang w:val="en-US"/>
        </w:rPr>
      </w:pPr>
    </w:p>
    <w:p w:rsidR="001964EA" w:rsidRPr="005F2289" w:rsidRDefault="001964EA" w:rsidP="001964EA">
      <w:pPr>
        <w:jc w:val="both"/>
        <w:rPr>
          <w:rFonts w:cs="Arial"/>
          <w:szCs w:val="22"/>
          <w:lang w:val="en-US"/>
        </w:rPr>
      </w:pPr>
      <w:r w:rsidRPr="005F2289">
        <w:rPr>
          <w:rFonts w:cs="Arial"/>
          <w:szCs w:val="22"/>
          <w:lang w:val="en-US"/>
        </w:rPr>
        <w:t>In order to limit the unfavorable effects of the instability in the international markets and sustain financial stability, the government and as well as monetary and banking sector authorities were conservative by giving priority to the policies that would decelerate the economic growth and constrain saving deficit.</w:t>
      </w:r>
      <w:r w:rsidRPr="005F2289">
        <w:rPr>
          <w:rFonts w:cs="Arial"/>
          <w:szCs w:val="22"/>
          <w:lang w:val="en-US"/>
        </w:rPr>
        <w:t xml:space="preserve"> </w:t>
      </w:r>
      <w:r w:rsidRPr="005F2289">
        <w:rPr>
          <w:rFonts w:cs="Arial"/>
          <w:szCs w:val="22"/>
          <w:lang w:val="en-US"/>
        </w:rPr>
        <w:t xml:space="preserve">Accordingly, public deficit to </w:t>
      </w:r>
      <w:proofErr w:type="spellStart"/>
      <w:r w:rsidRPr="005F2289">
        <w:rPr>
          <w:rFonts w:cs="Arial"/>
          <w:szCs w:val="22"/>
          <w:lang w:val="en-US"/>
        </w:rPr>
        <w:t>gdp</w:t>
      </w:r>
      <w:proofErr w:type="spellEnd"/>
      <w:r w:rsidRPr="005F2289">
        <w:rPr>
          <w:rFonts w:cs="Arial"/>
          <w:szCs w:val="22"/>
          <w:lang w:val="en-US"/>
        </w:rPr>
        <w:t xml:space="preserve"> ratio was decreased and loan growth rate was limited.</w:t>
      </w:r>
    </w:p>
    <w:p w:rsidR="00E26364" w:rsidRPr="005F2289" w:rsidRDefault="00E26364" w:rsidP="003377DD">
      <w:pPr>
        <w:rPr>
          <w:rFonts w:cs="Arial"/>
          <w:szCs w:val="22"/>
          <w:lang w:val="en-US"/>
        </w:rPr>
      </w:pPr>
    </w:p>
    <w:p w:rsidR="0091066E" w:rsidRPr="005F2289" w:rsidRDefault="00C0507D" w:rsidP="00095123">
      <w:pPr>
        <w:jc w:val="both"/>
        <w:rPr>
          <w:rFonts w:cs="Arial"/>
          <w:b/>
          <w:szCs w:val="22"/>
          <w:lang w:val="en-US"/>
        </w:rPr>
      </w:pPr>
      <w:proofErr w:type="gramStart"/>
      <w:r w:rsidRPr="005F2289">
        <w:rPr>
          <w:rFonts w:cs="Arial"/>
          <w:b/>
          <w:szCs w:val="22"/>
          <w:lang w:val="en-US"/>
        </w:rPr>
        <w:t>Banking Sector</w:t>
      </w:r>
      <w:r w:rsidR="00D81314" w:rsidRPr="005F2289">
        <w:rPr>
          <w:rFonts w:cs="Arial"/>
          <w:b/>
          <w:szCs w:val="22"/>
          <w:lang w:val="en-US"/>
        </w:rPr>
        <w:t xml:space="preserve">: </w:t>
      </w:r>
      <w:r w:rsidR="0091066E" w:rsidRPr="005F2289">
        <w:rPr>
          <w:rFonts w:cs="Arial"/>
          <w:b/>
          <w:szCs w:val="22"/>
          <w:lang w:val="en-US"/>
        </w:rPr>
        <w:t xml:space="preserve">Turkish banking sector acts prudently </w:t>
      </w:r>
      <w:r w:rsidR="00A4167B" w:rsidRPr="005F2289">
        <w:rPr>
          <w:rFonts w:cs="Arial"/>
          <w:b/>
          <w:szCs w:val="22"/>
          <w:lang w:val="en-US"/>
        </w:rPr>
        <w:t>in circumstances of ongoing global instability</w:t>
      </w:r>
      <w:r w:rsidR="0091066E" w:rsidRPr="005F2289">
        <w:rPr>
          <w:rFonts w:cs="Arial"/>
          <w:b/>
          <w:szCs w:val="22"/>
          <w:lang w:val="en-US"/>
        </w:rPr>
        <w:t>.</w:t>
      </w:r>
      <w:proofErr w:type="gramEnd"/>
    </w:p>
    <w:p w:rsidR="005A512C" w:rsidRPr="005F2289" w:rsidRDefault="005A512C" w:rsidP="00285010">
      <w:pPr>
        <w:jc w:val="both"/>
        <w:rPr>
          <w:lang w:val="en-US"/>
        </w:rPr>
      </w:pPr>
    </w:p>
    <w:p w:rsidR="005A512C" w:rsidRPr="005F2289" w:rsidRDefault="005A512C" w:rsidP="00285010">
      <w:pPr>
        <w:jc w:val="both"/>
        <w:rPr>
          <w:lang w:val="en-US"/>
        </w:rPr>
      </w:pPr>
      <w:r w:rsidRPr="005F2289">
        <w:rPr>
          <w:lang w:val="en-US"/>
        </w:rPr>
        <w:t xml:space="preserve">Banking sector performance has been determined by the macroeconomic conditions and measures taken by the public sector in 2011 in Turkey. In this framework, the Central Bank of Turkey has implemented policy composition including </w:t>
      </w:r>
      <w:proofErr w:type="spellStart"/>
      <w:proofErr w:type="gramStart"/>
      <w:r w:rsidR="001964EA" w:rsidRPr="005F2289">
        <w:rPr>
          <w:lang w:val="en-US"/>
        </w:rPr>
        <w:t>a</w:t>
      </w:r>
      <w:proofErr w:type="spellEnd"/>
      <w:proofErr w:type="gramEnd"/>
      <w:r w:rsidR="001964EA" w:rsidRPr="005F2289">
        <w:rPr>
          <w:lang w:val="en-US"/>
        </w:rPr>
        <w:t xml:space="preserve"> interest rate corridor</w:t>
      </w:r>
      <w:r w:rsidRPr="005F2289">
        <w:rPr>
          <w:lang w:val="en-US"/>
        </w:rPr>
        <w:t xml:space="preserve">, increase in the reserve requirement ratio and differentiation of the reserve requirement ratios according to maturities in a timely manner.  </w:t>
      </w:r>
    </w:p>
    <w:p w:rsidR="00D467CE" w:rsidRPr="005F2289" w:rsidRDefault="00D467CE" w:rsidP="00095123">
      <w:pPr>
        <w:jc w:val="both"/>
        <w:rPr>
          <w:rFonts w:cs="Arial"/>
          <w:szCs w:val="22"/>
          <w:lang w:val="en-US"/>
        </w:rPr>
      </w:pPr>
    </w:p>
    <w:p w:rsidR="00AD5D40" w:rsidRPr="005F2289" w:rsidRDefault="00A74311" w:rsidP="00095123">
      <w:pPr>
        <w:jc w:val="both"/>
        <w:rPr>
          <w:rFonts w:cs="Arial"/>
          <w:szCs w:val="22"/>
          <w:lang w:val="en-US"/>
        </w:rPr>
      </w:pPr>
      <w:r w:rsidRPr="005F2289">
        <w:rPr>
          <w:rFonts w:cs="Arial"/>
          <w:szCs w:val="22"/>
          <w:lang w:val="en-US"/>
        </w:rPr>
        <w:t>During 2011, banks</w:t>
      </w:r>
      <w:r w:rsidR="00AD5D40" w:rsidRPr="005F2289">
        <w:rPr>
          <w:rFonts w:cs="Arial"/>
          <w:szCs w:val="22"/>
          <w:lang w:val="en-US"/>
        </w:rPr>
        <w:t xml:space="preserve"> have</w:t>
      </w:r>
      <w:r w:rsidRPr="005F2289">
        <w:rPr>
          <w:rFonts w:cs="Arial"/>
          <w:szCs w:val="22"/>
          <w:lang w:val="en-US"/>
        </w:rPr>
        <w:t xml:space="preserve"> behave</w:t>
      </w:r>
      <w:r w:rsidR="00AD5D40" w:rsidRPr="005F2289">
        <w:rPr>
          <w:rFonts w:cs="Arial"/>
          <w:szCs w:val="22"/>
          <w:lang w:val="en-US"/>
        </w:rPr>
        <w:t>d</w:t>
      </w:r>
      <w:r w:rsidRPr="005F2289">
        <w:rPr>
          <w:rFonts w:cs="Arial"/>
          <w:szCs w:val="22"/>
          <w:lang w:val="en-US"/>
        </w:rPr>
        <w:t xml:space="preserve"> conservatively in consideration of tightening monetary policy and cautious banking measures</w:t>
      </w:r>
      <w:r w:rsidR="00375792" w:rsidRPr="005F2289">
        <w:rPr>
          <w:rFonts w:cs="Arial"/>
          <w:szCs w:val="22"/>
          <w:lang w:val="en-US"/>
        </w:rPr>
        <w:t xml:space="preserve"> taken by the authorities</w:t>
      </w:r>
      <w:r w:rsidRPr="005F2289">
        <w:rPr>
          <w:rFonts w:cs="Arial"/>
          <w:szCs w:val="22"/>
          <w:lang w:val="en-US"/>
        </w:rPr>
        <w:t>.</w:t>
      </w:r>
    </w:p>
    <w:p w:rsidR="00AD5D40" w:rsidRPr="005F2289" w:rsidRDefault="00AD5D40" w:rsidP="00095123">
      <w:pPr>
        <w:jc w:val="both"/>
        <w:rPr>
          <w:rFonts w:cs="Arial"/>
          <w:szCs w:val="22"/>
          <w:lang w:val="en-US"/>
        </w:rPr>
      </w:pPr>
    </w:p>
    <w:p w:rsidR="00A74311" w:rsidRPr="005F2289" w:rsidRDefault="00BE1B4E" w:rsidP="00095123">
      <w:pPr>
        <w:jc w:val="both"/>
        <w:rPr>
          <w:rFonts w:cs="Arial"/>
          <w:szCs w:val="22"/>
          <w:lang w:val="en-US"/>
        </w:rPr>
      </w:pPr>
      <w:r w:rsidRPr="005F2289">
        <w:rPr>
          <w:rFonts w:cs="Arial"/>
          <w:szCs w:val="22"/>
          <w:lang w:val="en-US"/>
        </w:rPr>
        <w:t>The major regulations that influence the banking activities were rise</w:t>
      </w:r>
      <w:r w:rsidR="00676D51" w:rsidRPr="005F2289">
        <w:rPr>
          <w:rFonts w:cs="Arial"/>
          <w:szCs w:val="22"/>
          <w:lang w:val="en-US"/>
        </w:rPr>
        <w:t>n</w:t>
      </w:r>
      <w:r w:rsidRPr="005F2289">
        <w:rPr>
          <w:rFonts w:cs="Arial"/>
          <w:szCs w:val="22"/>
          <w:lang w:val="en-US"/>
        </w:rPr>
        <w:t xml:space="preserve"> reserve requirement ratios, </w:t>
      </w:r>
      <w:r w:rsidR="0061291A" w:rsidRPr="005F2289">
        <w:rPr>
          <w:rFonts w:cs="Arial"/>
          <w:szCs w:val="22"/>
          <w:lang w:val="en-US"/>
        </w:rPr>
        <w:t>limit</w:t>
      </w:r>
      <w:r w:rsidR="00676D51" w:rsidRPr="005F2289">
        <w:rPr>
          <w:rFonts w:cs="Arial"/>
          <w:szCs w:val="22"/>
          <w:lang w:val="en-US"/>
        </w:rPr>
        <w:t>ationon</w:t>
      </w:r>
      <w:r w:rsidRPr="005F2289">
        <w:rPr>
          <w:rFonts w:cs="Arial"/>
          <w:szCs w:val="22"/>
          <w:lang w:val="en-US"/>
        </w:rPr>
        <w:t xml:space="preserve"> the credit growth, increase of some risk </w:t>
      </w:r>
      <w:r w:rsidR="00913B79" w:rsidRPr="005F2289">
        <w:rPr>
          <w:rFonts w:cs="Arial"/>
          <w:szCs w:val="22"/>
          <w:lang w:val="en-US"/>
        </w:rPr>
        <w:t>weightings</w:t>
      </w:r>
      <w:r w:rsidRPr="005F2289">
        <w:rPr>
          <w:rFonts w:cs="Arial"/>
          <w:szCs w:val="22"/>
          <w:lang w:val="en-US"/>
        </w:rPr>
        <w:t xml:space="preserve"> and provisions.</w:t>
      </w:r>
      <w:r w:rsidR="0061291A" w:rsidRPr="005F2289">
        <w:rPr>
          <w:rFonts w:cs="Arial"/>
          <w:szCs w:val="22"/>
          <w:lang w:val="en-US"/>
        </w:rPr>
        <w:t xml:space="preserve"> As </w:t>
      </w:r>
      <w:r w:rsidR="00676D51" w:rsidRPr="005F2289">
        <w:rPr>
          <w:rFonts w:cs="Arial"/>
          <w:szCs w:val="22"/>
          <w:lang w:val="en-US"/>
        </w:rPr>
        <w:t xml:space="preserve">a result, the </w:t>
      </w:r>
      <w:r w:rsidR="0061291A" w:rsidRPr="005F2289">
        <w:rPr>
          <w:rFonts w:cs="Arial"/>
          <w:szCs w:val="22"/>
          <w:lang w:val="en-US"/>
        </w:rPr>
        <w:t xml:space="preserve">cost of capital has risen and </w:t>
      </w:r>
      <w:r w:rsidR="00375792" w:rsidRPr="005F2289">
        <w:rPr>
          <w:rFonts w:cs="Arial"/>
          <w:szCs w:val="22"/>
          <w:lang w:val="en-US"/>
        </w:rPr>
        <w:t xml:space="preserve">interest rates </w:t>
      </w:r>
      <w:r w:rsidR="00913B79" w:rsidRPr="005F2289">
        <w:rPr>
          <w:rFonts w:cs="Arial"/>
          <w:szCs w:val="22"/>
          <w:lang w:val="en-US"/>
        </w:rPr>
        <w:t>on loans have increased</w:t>
      </w:r>
      <w:r w:rsidR="0061291A" w:rsidRPr="005F2289">
        <w:rPr>
          <w:rFonts w:cs="Arial"/>
          <w:szCs w:val="22"/>
          <w:lang w:val="en-US"/>
        </w:rPr>
        <w:t>.</w:t>
      </w:r>
    </w:p>
    <w:p w:rsidR="00FC1171" w:rsidRPr="005F2289" w:rsidRDefault="00FC1171" w:rsidP="00095123">
      <w:pPr>
        <w:jc w:val="both"/>
        <w:rPr>
          <w:rFonts w:cs="Arial"/>
          <w:szCs w:val="22"/>
          <w:lang w:val="en-US"/>
        </w:rPr>
      </w:pPr>
    </w:p>
    <w:p w:rsidR="00FC1171" w:rsidRPr="005F2289" w:rsidRDefault="00676D51" w:rsidP="00095123">
      <w:pPr>
        <w:jc w:val="both"/>
        <w:rPr>
          <w:rFonts w:cs="Arial"/>
          <w:szCs w:val="22"/>
          <w:lang w:val="en-US"/>
        </w:rPr>
      </w:pPr>
      <w:r w:rsidRPr="005F2289">
        <w:rPr>
          <w:rFonts w:cs="Arial"/>
          <w:szCs w:val="22"/>
          <w:lang w:val="en-US"/>
        </w:rPr>
        <w:t xml:space="preserve">Outstanding </w:t>
      </w:r>
      <w:r w:rsidR="00FC1171" w:rsidRPr="005F2289">
        <w:rPr>
          <w:rFonts w:cs="Arial"/>
          <w:szCs w:val="22"/>
          <w:lang w:val="en-US"/>
        </w:rPr>
        <w:t>growth performance of Turkish economy</w:t>
      </w:r>
      <w:r w:rsidR="00913B79" w:rsidRPr="005F2289">
        <w:rPr>
          <w:rFonts w:cs="Arial"/>
          <w:szCs w:val="22"/>
          <w:lang w:val="en-US"/>
        </w:rPr>
        <w:t xml:space="preserve"> has been supported</w:t>
      </w:r>
      <w:r w:rsidRPr="005F2289">
        <w:rPr>
          <w:rFonts w:cs="Arial"/>
          <w:szCs w:val="22"/>
          <w:lang w:val="en-US"/>
        </w:rPr>
        <w:t xml:space="preserve"> by</w:t>
      </w:r>
      <w:r w:rsidR="00FC1171" w:rsidRPr="005F2289">
        <w:rPr>
          <w:rFonts w:cs="Arial"/>
          <w:szCs w:val="22"/>
          <w:lang w:val="en-US"/>
        </w:rPr>
        <w:t xml:space="preserve"> healthy banking sector with its high capital adequacy, low non-performing loans and assets backed by strong domestic deposits.</w:t>
      </w:r>
    </w:p>
    <w:p w:rsidR="00FC1171" w:rsidRPr="005F2289" w:rsidRDefault="00FC1171" w:rsidP="00095123">
      <w:pPr>
        <w:jc w:val="both"/>
        <w:rPr>
          <w:rFonts w:cs="Arial"/>
          <w:szCs w:val="22"/>
          <w:lang w:val="en-US"/>
        </w:rPr>
      </w:pPr>
    </w:p>
    <w:p w:rsidR="00FC1171" w:rsidRPr="005F2289" w:rsidRDefault="003E290C" w:rsidP="00095123">
      <w:pPr>
        <w:jc w:val="both"/>
        <w:rPr>
          <w:rFonts w:cs="Arial"/>
          <w:szCs w:val="22"/>
          <w:lang w:val="en-US"/>
        </w:rPr>
      </w:pPr>
      <w:r w:rsidRPr="005F2289">
        <w:rPr>
          <w:rFonts w:cs="Arial"/>
          <w:szCs w:val="22"/>
          <w:lang w:val="en-US"/>
        </w:rPr>
        <w:t xml:space="preserve">Although </w:t>
      </w:r>
      <w:r w:rsidR="00375792" w:rsidRPr="005F2289">
        <w:rPr>
          <w:rFonts w:cs="Arial"/>
          <w:szCs w:val="22"/>
          <w:lang w:val="en-US"/>
        </w:rPr>
        <w:t>there was</w:t>
      </w:r>
      <w:r w:rsidRPr="005F2289">
        <w:rPr>
          <w:rFonts w:cs="Arial"/>
          <w:szCs w:val="22"/>
          <w:lang w:val="en-US"/>
        </w:rPr>
        <w:t xml:space="preserve"> an appropriate</w:t>
      </w:r>
      <w:r w:rsidR="005C2894" w:rsidRPr="005F2289">
        <w:rPr>
          <w:rFonts w:cs="Arial"/>
          <w:szCs w:val="22"/>
          <w:lang w:val="en-US"/>
        </w:rPr>
        <w:t xml:space="preserve"> circumstance</w:t>
      </w:r>
      <w:r w:rsidR="00375792" w:rsidRPr="005F2289">
        <w:rPr>
          <w:rFonts w:cs="Arial"/>
          <w:szCs w:val="22"/>
          <w:lang w:val="en-US"/>
        </w:rPr>
        <w:t xml:space="preserve"> for </w:t>
      </w:r>
      <w:r w:rsidR="00676D51" w:rsidRPr="005F2289">
        <w:rPr>
          <w:rFonts w:cs="Arial"/>
          <w:szCs w:val="22"/>
          <w:lang w:val="en-US"/>
        </w:rPr>
        <w:t>loans</w:t>
      </w:r>
      <w:r w:rsidR="00375792" w:rsidRPr="005F2289">
        <w:rPr>
          <w:rFonts w:cs="Arial"/>
          <w:szCs w:val="22"/>
          <w:lang w:val="en-US"/>
        </w:rPr>
        <w:t xml:space="preserve"> growth due to</w:t>
      </w:r>
      <w:r w:rsidR="001964EA" w:rsidRPr="005F2289">
        <w:rPr>
          <w:rFonts w:cs="Arial"/>
          <w:szCs w:val="22"/>
          <w:lang w:val="en-US"/>
        </w:rPr>
        <w:t xml:space="preserve"> </w:t>
      </w:r>
      <w:r w:rsidR="00375792" w:rsidRPr="005F2289">
        <w:rPr>
          <w:rFonts w:cs="Arial"/>
          <w:szCs w:val="22"/>
          <w:lang w:val="en-US"/>
        </w:rPr>
        <w:t xml:space="preserve">relatively low public sector </w:t>
      </w:r>
      <w:r w:rsidR="005C2894" w:rsidRPr="005F2289">
        <w:rPr>
          <w:rFonts w:cs="Arial"/>
          <w:szCs w:val="22"/>
          <w:lang w:val="en-US"/>
        </w:rPr>
        <w:t>demand for borrowing, banks behaved more cautiously and selectively while issuing a loan.</w:t>
      </w:r>
    </w:p>
    <w:p w:rsidR="00715CC0" w:rsidRPr="005F2289" w:rsidRDefault="00715CC0" w:rsidP="00095123">
      <w:pPr>
        <w:jc w:val="both"/>
        <w:rPr>
          <w:rFonts w:cs="Arial"/>
          <w:szCs w:val="22"/>
          <w:lang w:val="en-US"/>
        </w:rPr>
      </w:pPr>
    </w:p>
    <w:p w:rsidR="00C16609" w:rsidRPr="005F2289" w:rsidRDefault="00AD5D40" w:rsidP="00C16609">
      <w:pPr>
        <w:jc w:val="both"/>
        <w:rPr>
          <w:rFonts w:cs="Arial"/>
          <w:b/>
          <w:szCs w:val="22"/>
          <w:lang w:val="en-US"/>
        </w:rPr>
      </w:pPr>
      <w:r w:rsidRPr="005F2289">
        <w:rPr>
          <w:rFonts w:cs="Arial"/>
          <w:b/>
          <w:szCs w:val="22"/>
          <w:lang w:val="en-US"/>
        </w:rPr>
        <w:t>Loans</w:t>
      </w:r>
      <w:r w:rsidR="005C2894" w:rsidRPr="005F2289">
        <w:rPr>
          <w:rFonts w:cs="Arial"/>
          <w:b/>
          <w:szCs w:val="22"/>
          <w:lang w:val="en-US"/>
        </w:rPr>
        <w:t xml:space="preserve"> growth has decelerated</w:t>
      </w:r>
      <w:r w:rsidR="00EF02B3" w:rsidRPr="005F2289">
        <w:rPr>
          <w:rFonts w:cs="Arial"/>
          <w:b/>
          <w:szCs w:val="22"/>
          <w:lang w:val="en-US"/>
        </w:rPr>
        <w:t xml:space="preserve">: </w:t>
      </w:r>
      <w:r w:rsidR="00676D51" w:rsidRPr="005F2289">
        <w:rPr>
          <w:rFonts w:cs="Arial"/>
          <w:szCs w:val="22"/>
          <w:lang w:val="en-US"/>
        </w:rPr>
        <w:t>In</w:t>
      </w:r>
      <w:r w:rsidR="005C2894" w:rsidRPr="005F2289">
        <w:rPr>
          <w:rFonts w:cs="Arial"/>
          <w:szCs w:val="22"/>
          <w:lang w:val="en-US"/>
        </w:rPr>
        <w:t xml:space="preserve"> the first </w:t>
      </w:r>
      <w:r w:rsidR="000B7BCF" w:rsidRPr="005F2289">
        <w:rPr>
          <w:rFonts w:cs="Arial"/>
          <w:szCs w:val="22"/>
          <w:lang w:val="en-US"/>
        </w:rPr>
        <w:t>nine months</w:t>
      </w:r>
      <w:r w:rsidR="005C2894" w:rsidRPr="005F2289">
        <w:rPr>
          <w:rFonts w:cs="Arial"/>
          <w:szCs w:val="22"/>
          <w:lang w:val="en-US"/>
        </w:rPr>
        <w:t xml:space="preserve"> of 2011, </w:t>
      </w:r>
      <w:r w:rsidR="00071E76" w:rsidRPr="005F2289">
        <w:rPr>
          <w:rFonts w:cs="Arial"/>
          <w:szCs w:val="22"/>
          <w:lang w:val="en-US"/>
        </w:rPr>
        <w:t>loans</w:t>
      </w:r>
      <w:r w:rsidR="005C2894" w:rsidRPr="005F2289">
        <w:rPr>
          <w:rFonts w:cs="Arial"/>
          <w:szCs w:val="22"/>
          <w:lang w:val="en-US"/>
        </w:rPr>
        <w:t xml:space="preserve"> increased by </w:t>
      </w:r>
      <w:r w:rsidR="000B7BCF" w:rsidRPr="005F2289">
        <w:rPr>
          <w:rFonts w:cs="Arial"/>
          <w:szCs w:val="22"/>
          <w:lang w:val="en-US"/>
        </w:rPr>
        <w:t>26</w:t>
      </w:r>
      <w:r w:rsidR="00FA63EA" w:rsidRPr="005F2289">
        <w:rPr>
          <w:rFonts w:cs="Arial"/>
          <w:szCs w:val="22"/>
          <w:lang w:val="en-US"/>
        </w:rPr>
        <w:t xml:space="preserve"> percent</w:t>
      </w:r>
      <w:r w:rsidR="00676D51" w:rsidRPr="005F2289">
        <w:rPr>
          <w:rFonts w:cs="Arial"/>
          <w:szCs w:val="22"/>
          <w:lang w:val="en-US"/>
        </w:rPr>
        <w:t xml:space="preserve"> compared to December 2010</w:t>
      </w:r>
      <w:r w:rsidR="005C2894" w:rsidRPr="005F2289">
        <w:rPr>
          <w:rFonts w:cs="Arial"/>
          <w:szCs w:val="22"/>
          <w:lang w:val="en-US"/>
        </w:rPr>
        <w:t xml:space="preserve">. While corporate loans </w:t>
      </w:r>
      <w:r w:rsidR="000B7BCF" w:rsidRPr="005F2289">
        <w:rPr>
          <w:rFonts w:cs="Arial"/>
          <w:szCs w:val="22"/>
          <w:lang w:val="en-US"/>
        </w:rPr>
        <w:t>had a share of 6</w:t>
      </w:r>
      <w:r w:rsidR="00B5380B" w:rsidRPr="005F2289">
        <w:rPr>
          <w:rFonts w:cs="Arial"/>
          <w:szCs w:val="22"/>
          <w:lang w:val="en-US"/>
        </w:rPr>
        <w:t>7</w:t>
      </w:r>
      <w:r w:rsidR="00FA63EA" w:rsidRPr="005F2289">
        <w:rPr>
          <w:rFonts w:cs="Arial"/>
          <w:szCs w:val="22"/>
          <w:lang w:val="en-US"/>
        </w:rPr>
        <w:t xml:space="preserve"> percent</w:t>
      </w:r>
      <w:r w:rsidR="000B7BCF" w:rsidRPr="005F2289">
        <w:rPr>
          <w:rFonts w:cs="Arial"/>
          <w:szCs w:val="22"/>
          <w:lang w:val="en-US"/>
        </w:rPr>
        <w:t xml:space="preserve"> in total </w:t>
      </w:r>
      <w:proofErr w:type="gramStart"/>
      <w:r w:rsidR="000B7BCF" w:rsidRPr="005F2289">
        <w:rPr>
          <w:rFonts w:cs="Arial"/>
          <w:szCs w:val="22"/>
          <w:lang w:val="en-US"/>
        </w:rPr>
        <w:t xml:space="preserve">assets </w:t>
      </w:r>
      <w:r w:rsidR="005C2894" w:rsidRPr="005F2289">
        <w:rPr>
          <w:rFonts w:cs="Arial"/>
          <w:szCs w:val="22"/>
          <w:lang w:val="en-US"/>
        </w:rPr>
        <w:t>,</w:t>
      </w:r>
      <w:proofErr w:type="gramEnd"/>
      <w:r w:rsidR="005C2894" w:rsidRPr="005F2289">
        <w:rPr>
          <w:rFonts w:cs="Arial"/>
          <w:szCs w:val="22"/>
          <w:lang w:val="en-US"/>
        </w:rPr>
        <w:t xml:space="preserve"> </w:t>
      </w:r>
      <w:r w:rsidR="000B7BCF" w:rsidRPr="005F2289">
        <w:rPr>
          <w:rFonts w:cs="Arial"/>
          <w:szCs w:val="22"/>
          <w:lang w:val="en-US"/>
        </w:rPr>
        <w:t xml:space="preserve">share of </w:t>
      </w:r>
      <w:r w:rsidR="005C2894" w:rsidRPr="005F2289">
        <w:rPr>
          <w:rFonts w:cs="Arial"/>
          <w:szCs w:val="22"/>
          <w:lang w:val="en-US"/>
        </w:rPr>
        <w:t xml:space="preserve">consumer loans </w:t>
      </w:r>
      <w:r w:rsidR="000B7BCF" w:rsidRPr="005F2289">
        <w:rPr>
          <w:rFonts w:cs="Arial"/>
          <w:szCs w:val="22"/>
          <w:lang w:val="en-US"/>
        </w:rPr>
        <w:t>in total loans was</w:t>
      </w:r>
      <w:r w:rsidR="00B5380B" w:rsidRPr="005F2289">
        <w:rPr>
          <w:rFonts w:cs="Arial"/>
          <w:szCs w:val="22"/>
          <w:lang w:val="en-US"/>
        </w:rPr>
        <w:t xml:space="preserve"> </w:t>
      </w:r>
      <w:r w:rsidR="000B7BCF" w:rsidRPr="005F2289">
        <w:rPr>
          <w:rFonts w:cs="Arial"/>
          <w:szCs w:val="22"/>
          <w:lang w:val="en-US"/>
        </w:rPr>
        <w:t xml:space="preserve">33 </w:t>
      </w:r>
      <w:r w:rsidR="00FA63EA" w:rsidRPr="005F2289">
        <w:rPr>
          <w:rFonts w:cs="Arial"/>
          <w:szCs w:val="22"/>
          <w:lang w:val="en-US"/>
        </w:rPr>
        <w:t>percent</w:t>
      </w:r>
      <w:r w:rsidR="005C2894" w:rsidRPr="005F2289">
        <w:rPr>
          <w:rFonts w:cs="Arial"/>
          <w:szCs w:val="22"/>
          <w:lang w:val="en-US"/>
        </w:rPr>
        <w:t>.</w:t>
      </w:r>
      <w:r w:rsidR="000B7BCF" w:rsidRPr="005F2289">
        <w:rPr>
          <w:rFonts w:cs="Arial"/>
          <w:szCs w:val="22"/>
          <w:lang w:val="en-US"/>
        </w:rPr>
        <w:t xml:space="preserve"> </w:t>
      </w:r>
      <w:r w:rsidR="00FB4454" w:rsidRPr="005F2289">
        <w:rPr>
          <w:rFonts w:cs="Arial"/>
          <w:szCs w:val="22"/>
          <w:lang w:val="en-US"/>
        </w:rPr>
        <w:t xml:space="preserve">Total loans to total assets and total loans to </w:t>
      </w:r>
      <w:proofErr w:type="spellStart"/>
      <w:r w:rsidR="008926BC" w:rsidRPr="005F2289">
        <w:rPr>
          <w:rFonts w:cs="Arial"/>
          <w:szCs w:val="22"/>
          <w:lang w:val="en-US"/>
        </w:rPr>
        <w:t>gdp</w:t>
      </w:r>
      <w:proofErr w:type="spellEnd"/>
      <w:r w:rsidR="00FA63EA" w:rsidRPr="005F2289">
        <w:rPr>
          <w:rFonts w:cs="Arial"/>
          <w:szCs w:val="22"/>
          <w:lang w:val="en-US"/>
        </w:rPr>
        <w:t xml:space="preserve"> reached 54 and 50 percent</w:t>
      </w:r>
      <w:r w:rsidR="00FB4454" w:rsidRPr="005F2289">
        <w:rPr>
          <w:rFonts w:cs="Arial"/>
          <w:szCs w:val="22"/>
          <w:lang w:val="en-US"/>
        </w:rPr>
        <w:t xml:space="preserve"> respectively by </w:t>
      </w:r>
      <w:r w:rsidR="000B7BCF" w:rsidRPr="005F2289">
        <w:rPr>
          <w:rFonts w:cs="Arial"/>
          <w:szCs w:val="22"/>
          <w:lang w:val="en-US"/>
        </w:rPr>
        <w:t>September</w:t>
      </w:r>
      <w:r w:rsidR="00FB4454" w:rsidRPr="005F2289">
        <w:rPr>
          <w:rFonts w:cs="Arial"/>
          <w:szCs w:val="22"/>
          <w:lang w:val="en-US"/>
        </w:rPr>
        <w:t xml:space="preserve"> 2011. </w:t>
      </w:r>
      <w:r w:rsidR="007E60BB" w:rsidRPr="005F2289">
        <w:rPr>
          <w:rFonts w:cs="Arial"/>
          <w:szCs w:val="22"/>
          <w:lang w:val="en-US" w:eastAsia="tr-TR"/>
        </w:rPr>
        <w:t>The</w:t>
      </w:r>
      <w:r w:rsidR="00B5380B" w:rsidRPr="005F2289">
        <w:rPr>
          <w:rFonts w:cs="Arial"/>
          <w:szCs w:val="22"/>
          <w:lang w:val="en-US" w:eastAsia="tr-TR"/>
        </w:rPr>
        <w:t xml:space="preserve"> ratio of non- performing loans</w:t>
      </w:r>
      <w:r w:rsidR="002B191A" w:rsidRPr="005F2289">
        <w:rPr>
          <w:rFonts w:cs="Arial"/>
          <w:szCs w:val="22"/>
          <w:lang w:val="en-US" w:eastAsia="tr-TR"/>
        </w:rPr>
        <w:t xml:space="preserve"> (NPLs, gross</w:t>
      </w:r>
      <w:r w:rsidR="00585F55" w:rsidRPr="005F2289">
        <w:rPr>
          <w:rFonts w:cs="Arial"/>
          <w:szCs w:val="22"/>
          <w:lang w:val="en-US" w:eastAsia="tr-TR"/>
        </w:rPr>
        <w:t xml:space="preserve">) </w:t>
      </w:r>
      <w:r w:rsidR="007E60BB" w:rsidRPr="005F2289">
        <w:rPr>
          <w:rFonts w:cs="Arial"/>
          <w:szCs w:val="22"/>
          <w:lang w:val="en-US" w:eastAsia="tr-TR"/>
        </w:rPr>
        <w:t xml:space="preserve">to loan stock declined </w:t>
      </w:r>
      <w:r w:rsidR="00B5380B" w:rsidRPr="005F2289">
        <w:rPr>
          <w:rFonts w:cs="Arial"/>
          <w:szCs w:val="22"/>
          <w:lang w:val="en-US" w:eastAsia="tr-TR"/>
        </w:rPr>
        <w:t xml:space="preserve">to </w:t>
      </w:r>
      <w:r w:rsidR="000B7BCF" w:rsidRPr="005F2289">
        <w:rPr>
          <w:rFonts w:cs="Arial"/>
          <w:szCs w:val="22"/>
          <w:lang w:val="en-US" w:eastAsia="tr-TR"/>
        </w:rPr>
        <w:t>2.7</w:t>
      </w:r>
      <w:r w:rsidR="007E60BB" w:rsidRPr="005F2289">
        <w:rPr>
          <w:rFonts w:cs="Arial"/>
          <w:szCs w:val="22"/>
          <w:lang w:val="en-US" w:eastAsia="tr-TR"/>
        </w:rPr>
        <w:t xml:space="preserve"> by the end of </w:t>
      </w:r>
      <w:r w:rsidR="000B7BCF" w:rsidRPr="005F2289">
        <w:rPr>
          <w:rFonts w:cs="Arial"/>
          <w:szCs w:val="22"/>
          <w:lang w:val="en-US" w:eastAsia="tr-TR"/>
        </w:rPr>
        <w:t>September</w:t>
      </w:r>
      <w:r w:rsidRPr="005F2289">
        <w:rPr>
          <w:rFonts w:cs="Arial"/>
          <w:szCs w:val="22"/>
          <w:lang w:val="en-US" w:eastAsia="tr-TR"/>
        </w:rPr>
        <w:t xml:space="preserve"> 2011</w:t>
      </w:r>
      <w:r w:rsidR="00803299" w:rsidRPr="005F2289">
        <w:rPr>
          <w:rFonts w:cs="Arial"/>
          <w:szCs w:val="22"/>
          <w:lang w:val="en-US" w:eastAsia="tr-TR"/>
        </w:rPr>
        <w:t xml:space="preserve">. </w:t>
      </w:r>
      <w:r w:rsidR="00803299" w:rsidRPr="005F2289">
        <w:rPr>
          <w:rFonts w:cs="Arial"/>
          <w:szCs w:val="22"/>
          <w:lang w:val="en-US"/>
        </w:rPr>
        <w:t xml:space="preserve">Notably, provisions were set aside for 85 percent of the non-performing loans. </w:t>
      </w:r>
    </w:p>
    <w:p w:rsidR="00C16609" w:rsidRPr="005F2289" w:rsidRDefault="00C16609" w:rsidP="00C16609">
      <w:pPr>
        <w:jc w:val="both"/>
        <w:rPr>
          <w:rFonts w:cs="Arial"/>
          <w:b/>
          <w:szCs w:val="22"/>
          <w:lang w:val="en-US" w:eastAsia="tr-TR"/>
        </w:rPr>
      </w:pPr>
    </w:p>
    <w:p w:rsidR="00AF6818" w:rsidRPr="005F2289" w:rsidRDefault="00095123" w:rsidP="00AF6818">
      <w:pPr>
        <w:jc w:val="both"/>
        <w:rPr>
          <w:rFonts w:cs="Arial"/>
          <w:szCs w:val="22"/>
          <w:lang w:val="en-US"/>
        </w:rPr>
      </w:pPr>
      <w:r w:rsidRPr="005F2289">
        <w:rPr>
          <w:rFonts w:cs="Arial"/>
          <w:b/>
          <w:szCs w:val="22"/>
          <w:lang w:val="en-US" w:eastAsia="tr-TR"/>
        </w:rPr>
        <w:t>Strong capital adequacy</w:t>
      </w:r>
      <w:r w:rsidR="00EF02B3" w:rsidRPr="005F2289">
        <w:rPr>
          <w:rFonts w:cs="Arial"/>
          <w:szCs w:val="22"/>
          <w:lang w:val="en-US"/>
        </w:rPr>
        <w:t xml:space="preserve">: </w:t>
      </w:r>
      <w:r w:rsidR="007E60BB" w:rsidRPr="005F2289">
        <w:rPr>
          <w:rFonts w:cs="Arial"/>
          <w:szCs w:val="22"/>
          <w:lang w:val="en-US"/>
        </w:rPr>
        <w:t xml:space="preserve">Total shareholders’ equity of the banking sector accumulated to USD </w:t>
      </w:r>
      <w:r w:rsidR="001964EA" w:rsidRPr="005F2289">
        <w:rPr>
          <w:rFonts w:cs="Arial"/>
          <w:szCs w:val="22"/>
          <w:lang w:val="en-US"/>
        </w:rPr>
        <w:t>73</w:t>
      </w:r>
      <w:r w:rsidR="007E60BB" w:rsidRPr="005F2289">
        <w:rPr>
          <w:rFonts w:cs="Arial"/>
          <w:szCs w:val="22"/>
          <w:lang w:val="en-US"/>
        </w:rPr>
        <w:t xml:space="preserve"> billion by </w:t>
      </w:r>
      <w:r w:rsidR="001964EA" w:rsidRPr="005F2289">
        <w:rPr>
          <w:rFonts w:cs="Arial"/>
          <w:szCs w:val="22"/>
          <w:lang w:val="en-US"/>
        </w:rPr>
        <w:t>September</w:t>
      </w:r>
      <w:r w:rsidR="007E60BB" w:rsidRPr="005F2289">
        <w:rPr>
          <w:rFonts w:cs="Arial"/>
          <w:szCs w:val="22"/>
          <w:lang w:val="en-US"/>
        </w:rPr>
        <w:t xml:space="preserve"> 2011. Meanwhile, ne</w:t>
      </w:r>
      <w:r w:rsidR="001964EA" w:rsidRPr="005F2289">
        <w:rPr>
          <w:rFonts w:cs="Arial"/>
          <w:szCs w:val="22"/>
          <w:lang w:val="en-US"/>
        </w:rPr>
        <w:t>t working capital reached USD 62</w:t>
      </w:r>
      <w:r w:rsidR="007E60BB" w:rsidRPr="005F2289">
        <w:rPr>
          <w:rFonts w:cs="Arial"/>
          <w:szCs w:val="22"/>
          <w:lang w:val="en-US"/>
        </w:rPr>
        <w:t xml:space="preserve"> billion. Capital adequacy ratio was </w:t>
      </w:r>
      <w:r w:rsidR="001964EA" w:rsidRPr="005F2289">
        <w:rPr>
          <w:rFonts w:cs="Arial"/>
          <w:szCs w:val="22"/>
          <w:lang w:val="en-US"/>
        </w:rPr>
        <w:t>16.</w:t>
      </w:r>
      <w:r w:rsidR="00585F55" w:rsidRPr="005F2289">
        <w:rPr>
          <w:rFonts w:cs="Arial"/>
          <w:szCs w:val="22"/>
          <w:lang w:val="en-US"/>
        </w:rPr>
        <w:t>5</w:t>
      </w:r>
      <w:r w:rsidR="007E60BB" w:rsidRPr="005F2289">
        <w:rPr>
          <w:rFonts w:cs="Arial"/>
          <w:szCs w:val="22"/>
          <w:lang w:val="en-US"/>
        </w:rPr>
        <w:t xml:space="preserve"> percent well above the regulatory level of 12 percent. </w:t>
      </w:r>
    </w:p>
    <w:p w:rsidR="00EF02B3" w:rsidRPr="005F2289" w:rsidRDefault="00EF02B3" w:rsidP="00AF6818">
      <w:pPr>
        <w:jc w:val="both"/>
        <w:rPr>
          <w:rFonts w:cs="Arial"/>
          <w:b/>
          <w:szCs w:val="22"/>
          <w:lang w:val="en-US"/>
        </w:rPr>
      </w:pPr>
    </w:p>
    <w:p w:rsidR="007E60BB" w:rsidRPr="005F2289" w:rsidRDefault="008B540C" w:rsidP="00EF02B3">
      <w:pPr>
        <w:jc w:val="both"/>
        <w:rPr>
          <w:rFonts w:cs="Arial"/>
          <w:szCs w:val="22"/>
          <w:lang w:val="en-US"/>
        </w:rPr>
      </w:pPr>
      <w:r w:rsidRPr="005F2289">
        <w:rPr>
          <w:rFonts w:cs="Arial"/>
          <w:b/>
          <w:szCs w:val="22"/>
          <w:lang w:val="en-US"/>
        </w:rPr>
        <w:t>Declining profit margin in 2011</w:t>
      </w:r>
      <w:r w:rsidR="00EF02B3" w:rsidRPr="005F2289">
        <w:rPr>
          <w:rFonts w:cs="Arial"/>
          <w:szCs w:val="22"/>
          <w:lang w:val="en-US"/>
        </w:rPr>
        <w:t xml:space="preserve">: </w:t>
      </w:r>
      <w:r w:rsidR="007E60BB" w:rsidRPr="005F2289">
        <w:rPr>
          <w:rFonts w:cs="Arial"/>
          <w:szCs w:val="22"/>
          <w:lang w:val="en-US"/>
        </w:rPr>
        <w:t>The interest margin has decli</w:t>
      </w:r>
      <w:r w:rsidR="001F7855" w:rsidRPr="005F2289">
        <w:rPr>
          <w:rFonts w:cs="Arial"/>
          <w:szCs w:val="22"/>
          <w:lang w:val="en-US"/>
        </w:rPr>
        <w:t>ned due to monetary and prudent banking</w:t>
      </w:r>
      <w:r w:rsidR="001964EA" w:rsidRPr="005F2289">
        <w:rPr>
          <w:rFonts w:cs="Arial"/>
          <w:szCs w:val="22"/>
          <w:lang w:val="en-US"/>
        </w:rPr>
        <w:t xml:space="preserve"> </w:t>
      </w:r>
      <w:r w:rsidR="007E60BB" w:rsidRPr="005F2289">
        <w:rPr>
          <w:szCs w:val="22"/>
          <w:lang w:val="en-US"/>
        </w:rPr>
        <w:t xml:space="preserve">measures taken by the authorities. The profitability ratio has </w:t>
      </w:r>
      <w:r w:rsidR="006A1FBB" w:rsidRPr="005F2289">
        <w:rPr>
          <w:szCs w:val="22"/>
          <w:lang w:val="en-US"/>
        </w:rPr>
        <w:t xml:space="preserve">deteriorated and return on equity </w:t>
      </w:r>
      <w:r w:rsidR="002B191A" w:rsidRPr="005F2289">
        <w:rPr>
          <w:szCs w:val="22"/>
          <w:lang w:val="en-US"/>
        </w:rPr>
        <w:t xml:space="preserve">(ROE) </w:t>
      </w:r>
      <w:r w:rsidR="006A1FBB" w:rsidRPr="005F2289">
        <w:rPr>
          <w:szCs w:val="22"/>
          <w:lang w:val="en-US"/>
        </w:rPr>
        <w:t xml:space="preserve">has decreased by </w:t>
      </w:r>
      <w:r w:rsidR="00B5380B" w:rsidRPr="005F2289">
        <w:rPr>
          <w:szCs w:val="22"/>
          <w:lang w:val="en-US"/>
        </w:rPr>
        <w:t>1.9</w:t>
      </w:r>
      <w:r w:rsidR="00676D51" w:rsidRPr="005F2289">
        <w:rPr>
          <w:szCs w:val="22"/>
          <w:lang w:val="en-US"/>
        </w:rPr>
        <w:t xml:space="preserve"> points and beco</w:t>
      </w:r>
      <w:r w:rsidR="006A1FBB" w:rsidRPr="005F2289">
        <w:rPr>
          <w:szCs w:val="22"/>
          <w:lang w:val="en-US"/>
        </w:rPr>
        <w:t xml:space="preserve">me </w:t>
      </w:r>
      <w:r w:rsidR="00B5380B" w:rsidRPr="005F2289">
        <w:rPr>
          <w:szCs w:val="22"/>
          <w:lang w:val="en-US"/>
        </w:rPr>
        <w:t>14.5</w:t>
      </w:r>
      <w:r w:rsidR="00913B79" w:rsidRPr="005F2289">
        <w:rPr>
          <w:szCs w:val="22"/>
          <w:lang w:val="en-US"/>
        </w:rPr>
        <w:t xml:space="preserve"> percent</w:t>
      </w:r>
      <w:r w:rsidR="00B5380B" w:rsidRPr="005F2289">
        <w:rPr>
          <w:szCs w:val="22"/>
          <w:lang w:val="en-US"/>
        </w:rPr>
        <w:t>.</w:t>
      </w:r>
    </w:p>
    <w:p w:rsidR="00803299" w:rsidRPr="005F2289" w:rsidRDefault="00803299" w:rsidP="00803299">
      <w:pPr>
        <w:jc w:val="both"/>
        <w:rPr>
          <w:rFonts w:cs="Arial"/>
          <w:szCs w:val="22"/>
          <w:lang w:val="en-US"/>
        </w:rPr>
      </w:pPr>
    </w:p>
    <w:p w:rsidR="00AD5D40" w:rsidRPr="005F2289" w:rsidRDefault="008926BC" w:rsidP="008926BC">
      <w:pPr>
        <w:jc w:val="center"/>
        <w:rPr>
          <w:rFonts w:cs="Arial"/>
          <w:b/>
          <w:sz w:val="24"/>
          <w:lang w:val="en-US"/>
        </w:rPr>
      </w:pPr>
      <w:r w:rsidRPr="005F2289">
        <w:rPr>
          <w:rFonts w:cs="Arial"/>
          <w:b/>
          <w:sz w:val="24"/>
          <w:lang w:val="en-US"/>
        </w:rPr>
        <w:t>Selected Indicators of Banking System (USD million)</w:t>
      </w:r>
    </w:p>
    <w:p w:rsidR="004A085C" w:rsidRPr="005F2289" w:rsidRDefault="004A085C" w:rsidP="008926BC">
      <w:pPr>
        <w:jc w:val="center"/>
        <w:rPr>
          <w:rFonts w:cs="Arial"/>
          <w:b/>
          <w:sz w:val="24"/>
          <w:lang w:val="en-US"/>
        </w:rPr>
      </w:pPr>
    </w:p>
    <w:tbl>
      <w:tblPr>
        <w:tblW w:w="8209" w:type="dxa"/>
        <w:tblInd w:w="-34" w:type="dxa"/>
        <w:tblLayout w:type="fixed"/>
        <w:tblLook w:val="0000" w:firstRow="0" w:lastRow="0" w:firstColumn="0" w:lastColumn="0" w:noHBand="0" w:noVBand="0"/>
      </w:tblPr>
      <w:tblGrid>
        <w:gridCol w:w="3531"/>
        <w:gridCol w:w="2268"/>
        <w:gridCol w:w="2410"/>
      </w:tblGrid>
      <w:tr w:rsidR="005F2289" w:rsidRPr="005F2289" w:rsidTr="001F7855">
        <w:trPr>
          <w:cantSplit/>
        </w:trPr>
        <w:tc>
          <w:tcPr>
            <w:tcW w:w="3531" w:type="dxa"/>
            <w:tcBorders>
              <w:bottom w:val="single" w:sz="4" w:space="0" w:color="auto"/>
            </w:tcBorders>
          </w:tcPr>
          <w:p w:rsidR="00A3351E" w:rsidRPr="005F2289" w:rsidRDefault="00A3351E" w:rsidP="00EF02B3">
            <w:pPr>
              <w:pStyle w:val="Heading6"/>
              <w:rPr>
                <w:rFonts w:ascii="Arial" w:hAnsi="Arial" w:cs="Arial"/>
                <w:sz w:val="18"/>
                <w:szCs w:val="18"/>
                <w:lang w:val="en-US"/>
              </w:rPr>
            </w:pPr>
          </w:p>
        </w:tc>
        <w:tc>
          <w:tcPr>
            <w:tcW w:w="2268" w:type="dxa"/>
            <w:tcBorders>
              <w:bottom w:val="single" w:sz="4" w:space="0" w:color="auto"/>
            </w:tcBorders>
          </w:tcPr>
          <w:p w:rsidR="00A3351E" w:rsidRPr="005F2289" w:rsidRDefault="00A3351E" w:rsidP="00C16609">
            <w:pPr>
              <w:pStyle w:val="Heading6"/>
              <w:tabs>
                <w:tab w:val="left" w:pos="884"/>
              </w:tabs>
              <w:jc w:val="right"/>
              <w:rPr>
                <w:rFonts w:ascii="Arial" w:hAnsi="Arial" w:cs="Arial"/>
                <w:sz w:val="20"/>
                <w:szCs w:val="20"/>
                <w:lang w:val="en-US"/>
              </w:rPr>
            </w:pPr>
            <w:r w:rsidRPr="005F2289">
              <w:rPr>
                <w:rFonts w:ascii="Arial" w:hAnsi="Arial" w:cs="Arial"/>
                <w:sz w:val="20"/>
                <w:szCs w:val="20"/>
                <w:lang w:val="en-US"/>
              </w:rPr>
              <w:t>December 2010</w:t>
            </w:r>
          </w:p>
        </w:tc>
        <w:tc>
          <w:tcPr>
            <w:tcW w:w="2410" w:type="dxa"/>
            <w:tcBorders>
              <w:bottom w:val="single" w:sz="4" w:space="0" w:color="auto"/>
            </w:tcBorders>
          </w:tcPr>
          <w:p w:rsidR="00A3351E" w:rsidRPr="005F2289" w:rsidRDefault="00521309" w:rsidP="00C16609">
            <w:pPr>
              <w:pStyle w:val="Heading6"/>
              <w:ind w:right="-108"/>
              <w:jc w:val="right"/>
              <w:rPr>
                <w:rFonts w:ascii="Arial" w:hAnsi="Arial" w:cs="Arial"/>
                <w:sz w:val="20"/>
                <w:szCs w:val="20"/>
                <w:lang w:val="en-US"/>
              </w:rPr>
            </w:pPr>
            <w:r w:rsidRPr="005F2289">
              <w:rPr>
                <w:rFonts w:ascii="Arial" w:hAnsi="Arial" w:cs="Arial"/>
                <w:sz w:val="20"/>
                <w:szCs w:val="20"/>
                <w:lang w:val="en-US"/>
              </w:rPr>
              <w:t>September</w:t>
            </w:r>
            <w:r w:rsidR="00A3351E" w:rsidRPr="005F2289">
              <w:rPr>
                <w:rFonts w:ascii="Arial" w:hAnsi="Arial" w:cs="Arial"/>
                <w:sz w:val="20"/>
                <w:szCs w:val="20"/>
                <w:lang w:val="en-US"/>
              </w:rPr>
              <w:t xml:space="preserve"> 2011</w:t>
            </w:r>
          </w:p>
        </w:tc>
      </w:tr>
      <w:tr w:rsidR="005F2289" w:rsidRPr="005F2289" w:rsidTr="001F7855">
        <w:trPr>
          <w:cantSplit/>
        </w:trPr>
        <w:tc>
          <w:tcPr>
            <w:tcW w:w="3531" w:type="dxa"/>
            <w:tcBorders>
              <w:top w:val="single" w:sz="4" w:space="0" w:color="auto"/>
            </w:tcBorders>
          </w:tcPr>
          <w:p w:rsidR="00A3351E" w:rsidRPr="005F2289" w:rsidRDefault="00A3351E" w:rsidP="00EF02B3">
            <w:pPr>
              <w:jc w:val="both"/>
              <w:rPr>
                <w:rFonts w:cs="Arial"/>
                <w:snapToGrid w:val="0"/>
                <w:sz w:val="20"/>
                <w:szCs w:val="20"/>
                <w:lang w:val="en-US"/>
              </w:rPr>
            </w:pPr>
          </w:p>
        </w:tc>
        <w:tc>
          <w:tcPr>
            <w:tcW w:w="2268" w:type="dxa"/>
            <w:tcBorders>
              <w:top w:val="single" w:sz="4" w:space="0" w:color="auto"/>
            </w:tcBorders>
          </w:tcPr>
          <w:p w:rsidR="00A3351E" w:rsidRPr="005F2289" w:rsidRDefault="00A3351E" w:rsidP="00C16609">
            <w:pPr>
              <w:jc w:val="right"/>
              <w:rPr>
                <w:rFonts w:cs="Arial"/>
                <w:snapToGrid w:val="0"/>
                <w:sz w:val="20"/>
                <w:szCs w:val="20"/>
                <w:lang w:val="en-US"/>
              </w:rPr>
            </w:pPr>
          </w:p>
        </w:tc>
        <w:tc>
          <w:tcPr>
            <w:tcW w:w="2410" w:type="dxa"/>
            <w:tcBorders>
              <w:top w:val="single" w:sz="4" w:space="0" w:color="auto"/>
            </w:tcBorders>
          </w:tcPr>
          <w:p w:rsidR="00A3351E" w:rsidRPr="005F2289" w:rsidRDefault="00A3351E" w:rsidP="00C16609">
            <w:pPr>
              <w:jc w:val="right"/>
              <w:rPr>
                <w:rFonts w:cs="Arial"/>
                <w:snapToGrid w:val="0"/>
                <w:sz w:val="20"/>
                <w:szCs w:val="20"/>
                <w:lang w:val="en-US"/>
              </w:rPr>
            </w:pPr>
          </w:p>
        </w:tc>
      </w:tr>
      <w:tr w:rsidR="005F2289" w:rsidRPr="005F2289" w:rsidTr="001F7855">
        <w:trPr>
          <w:cantSplit/>
        </w:trPr>
        <w:tc>
          <w:tcPr>
            <w:tcW w:w="3531" w:type="dxa"/>
            <w:vAlign w:val="bottom"/>
          </w:tcPr>
          <w:p w:rsidR="00A3351E" w:rsidRPr="005F2289" w:rsidRDefault="00A3351E" w:rsidP="00EF02B3">
            <w:pPr>
              <w:rPr>
                <w:rFonts w:cs="Arial"/>
                <w:b/>
                <w:sz w:val="20"/>
                <w:szCs w:val="20"/>
                <w:lang w:val="en-US"/>
              </w:rPr>
            </w:pPr>
            <w:r w:rsidRPr="005F2289">
              <w:rPr>
                <w:rFonts w:cs="Arial"/>
                <w:b/>
                <w:sz w:val="20"/>
                <w:szCs w:val="20"/>
                <w:lang w:val="en-US"/>
              </w:rPr>
              <w:t>Liquid assets</w:t>
            </w:r>
          </w:p>
        </w:tc>
        <w:tc>
          <w:tcPr>
            <w:tcW w:w="2268" w:type="dxa"/>
            <w:vAlign w:val="bottom"/>
          </w:tcPr>
          <w:p w:rsidR="00A3351E" w:rsidRPr="005F2289" w:rsidRDefault="00DF49D9" w:rsidP="00C16609">
            <w:pPr>
              <w:jc w:val="right"/>
              <w:rPr>
                <w:rFonts w:cs="Arial"/>
                <w:sz w:val="20"/>
                <w:szCs w:val="20"/>
                <w:lang w:val="en-US"/>
              </w:rPr>
            </w:pPr>
            <w:r w:rsidRPr="005F2289">
              <w:rPr>
                <w:rFonts w:cs="Arial"/>
                <w:sz w:val="20"/>
                <w:szCs w:val="20"/>
                <w:lang w:val="en-US"/>
              </w:rPr>
              <w:t>64,66</w:t>
            </w:r>
            <w:r w:rsidR="00B66A63" w:rsidRPr="005F2289">
              <w:rPr>
                <w:rFonts w:cs="Arial"/>
                <w:sz w:val="20"/>
                <w:szCs w:val="20"/>
                <w:lang w:val="en-US"/>
              </w:rPr>
              <w:t>9</w:t>
            </w:r>
          </w:p>
        </w:tc>
        <w:tc>
          <w:tcPr>
            <w:tcW w:w="2410" w:type="dxa"/>
            <w:vAlign w:val="bottom"/>
          </w:tcPr>
          <w:p w:rsidR="00A3351E" w:rsidRPr="005F2289" w:rsidRDefault="00790D23" w:rsidP="00C16609">
            <w:pPr>
              <w:jc w:val="right"/>
              <w:rPr>
                <w:rFonts w:cs="Arial"/>
                <w:sz w:val="20"/>
                <w:szCs w:val="20"/>
                <w:lang w:val="en-US"/>
              </w:rPr>
            </w:pPr>
            <w:r w:rsidRPr="005F2289">
              <w:rPr>
                <w:rFonts w:cs="Arial"/>
                <w:sz w:val="20"/>
                <w:szCs w:val="20"/>
                <w:lang w:val="en-US"/>
              </w:rPr>
              <w:t>88</w:t>
            </w:r>
            <w:r w:rsidR="00BC5FB9" w:rsidRPr="005F2289">
              <w:rPr>
                <w:rFonts w:cs="Arial"/>
                <w:sz w:val="20"/>
                <w:szCs w:val="20"/>
                <w:lang w:val="en-US"/>
              </w:rPr>
              <w:t>,</w:t>
            </w:r>
            <w:r w:rsidRPr="005F2289">
              <w:rPr>
                <w:rFonts w:cs="Arial"/>
                <w:sz w:val="20"/>
                <w:szCs w:val="20"/>
                <w:lang w:val="en-US"/>
              </w:rPr>
              <w:t>459</w:t>
            </w:r>
          </w:p>
        </w:tc>
      </w:tr>
      <w:tr w:rsidR="005F2289" w:rsidRPr="005F2289" w:rsidTr="001F7855">
        <w:trPr>
          <w:cantSplit/>
        </w:trPr>
        <w:tc>
          <w:tcPr>
            <w:tcW w:w="3531" w:type="dxa"/>
            <w:vAlign w:val="bottom"/>
          </w:tcPr>
          <w:p w:rsidR="00A3351E" w:rsidRPr="005F2289" w:rsidRDefault="00FA63EA" w:rsidP="00EF02B3">
            <w:pPr>
              <w:rPr>
                <w:rFonts w:cs="Arial"/>
                <w:b/>
                <w:sz w:val="20"/>
                <w:szCs w:val="20"/>
                <w:lang w:val="en-US"/>
              </w:rPr>
            </w:pPr>
            <w:r w:rsidRPr="005F2289">
              <w:rPr>
                <w:rFonts w:cs="Arial"/>
                <w:b/>
                <w:sz w:val="20"/>
                <w:szCs w:val="20"/>
                <w:lang w:val="en-US"/>
              </w:rPr>
              <w:t>Securities portfolio</w:t>
            </w:r>
          </w:p>
        </w:tc>
        <w:tc>
          <w:tcPr>
            <w:tcW w:w="2268" w:type="dxa"/>
            <w:vAlign w:val="bottom"/>
          </w:tcPr>
          <w:p w:rsidR="00A3351E" w:rsidRPr="005F2289" w:rsidRDefault="00DF49D9" w:rsidP="00C16609">
            <w:pPr>
              <w:jc w:val="right"/>
              <w:rPr>
                <w:rFonts w:cs="Arial"/>
                <w:sz w:val="20"/>
                <w:szCs w:val="20"/>
                <w:lang w:val="en-US"/>
              </w:rPr>
            </w:pPr>
            <w:r w:rsidRPr="005F2289">
              <w:rPr>
                <w:rFonts w:cs="Arial"/>
                <w:sz w:val="20"/>
                <w:szCs w:val="20"/>
                <w:lang w:val="en-US"/>
              </w:rPr>
              <w:t>186,281</w:t>
            </w:r>
          </w:p>
        </w:tc>
        <w:tc>
          <w:tcPr>
            <w:tcW w:w="2410" w:type="dxa"/>
            <w:vAlign w:val="bottom"/>
          </w:tcPr>
          <w:p w:rsidR="00A3351E" w:rsidRPr="005F2289" w:rsidRDefault="00790D23" w:rsidP="00C16609">
            <w:pPr>
              <w:jc w:val="right"/>
              <w:rPr>
                <w:rFonts w:cs="Arial"/>
                <w:sz w:val="20"/>
                <w:szCs w:val="20"/>
                <w:lang w:val="en-US"/>
              </w:rPr>
            </w:pPr>
            <w:r w:rsidRPr="005F2289">
              <w:rPr>
                <w:rFonts w:cs="Arial"/>
                <w:sz w:val="20"/>
                <w:szCs w:val="20"/>
                <w:lang w:val="en-US"/>
              </w:rPr>
              <w:t>154</w:t>
            </w:r>
            <w:r w:rsidR="00BC5FB9" w:rsidRPr="005F2289">
              <w:rPr>
                <w:rFonts w:cs="Arial"/>
                <w:sz w:val="20"/>
                <w:szCs w:val="20"/>
                <w:lang w:val="en-US"/>
              </w:rPr>
              <w:t>,</w:t>
            </w:r>
            <w:r w:rsidRPr="005F2289">
              <w:rPr>
                <w:rFonts w:cs="Arial"/>
                <w:sz w:val="20"/>
                <w:szCs w:val="20"/>
                <w:lang w:val="en-US"/>
              </w:rPr>
              <w:t>681</w:t>
            </w:r>
          </w:p>
        </w:tc>
      </w:tr>
      <w:tr w:rsidR="005F2289" w:rsidRPr="005F2289" w:rsidTr="001F7855">
        <w:trPr>
          <w:cantSplit/>
        </w:trPr>
        <w:tc>
          <w:tcPr>
            <w:tcW w:w="3531" w:type="dxa"/>
          </w:tcPr>
          <w:p w:rsidR="00A3351E" w:rsidRPr="005F2289" w:rsidRDefault="00A3351E" w:rsidP="00EF02B3">
            <w:pPr>
              <w:rPr>
                <w:rFonts w:cs="Arial"/>
                <w:b/>
                <w:snapToGrid w:val="0"/>
                <w:sz w:val="20"/>
                <w:szCs w:val="20"/>
                <w:lang w:val="en-US"/>
              </w:rPr>
            </w:pPr>
            <w:r w:rsidRPr="005F2289">
              <w:rPr>
                <w:rFonts w:cs="Arial"/>
                <w:b/>
                <w:snapToGrid w:val="0"/>
                <w:sz w:val="20"/>
                <w:szCs w:val="20"/>
                <w:lang w:val="en-US"/>
              </w:rPr>
              <w:t>Loans</w:t>
            </w:r>
          </w:p>
        </w:tc>
        <w:tc>
          <w:tcPr>
            <w:tcW w:w="2268" w:type="dxa"/>
            <w:vAlign w:val="bottom"/>
          </w:tcPr>
          <w:p w:rsidR="00A3351E" w:rsidRPr="005F2289" w:rsidRDefault="00DF49D9" w:rsidP="00C16609">
            <w:pPr>
              <w:jc w:val="right"/>
              <w:rPr>
                <w:rFonts w:cs="Arial"/>
                <w:sz w:val="20"/>
                <w:szCs w:val="20"/>
                <w:lang w:val="en-US"/>
              </w:rPr>
            </w:pPr>
            <w:r w:rsidRPr="005F2289">
              <w:rPr>
                <w:rFonts w:cs="Arial"/>
                <w:sz w:val="20"/>
                <w:szCs w:val="20"/>
                <w:lang w:val="en-US"/>
              </w:rPr>
              <w:t>323,791</w:t>
            </w:r>
          </w:p>
        </w:tc>
        <w:tc>
          <w:tcPr>
            <w:tcW w:w="2410" w:type="dxa"/>
            <w:vAlign w:val="bottom"/>
          </w:tcPr>
          <w:p w:rsidR="00A3351E" w:rsidRPr="005F2289" w:rsidRDefault="00790D23" w:rsidP="00C16609">
            <w:pPr>
              <w:jc w:val="right"/>
              <w:rPr>
                <w:rFonts w:cs="Arial"/>
                <w:sz w:val="20"/>
                <w:szCs w:val="20"/>
                <w:lang w:val="en-US"/>
              </w:rPr>
            </w:pPr>
            <w:r w:rsidRPr="005F2289">
              <w:rPr>
                <w:rFonts w:cs="Arial"/>
                <w:sz w:val="20"/>
                <w:szCs w:val="20"/>
                <w:lang w:val="en-US"/>
              </w:rPr>
              <w:t>339</w:t>
            </w:r>
            <w:r w:rsidR="00BC5FB9" w:rsidRPr="005F2289">
              <w:rPr>
                <w:rFonts w:cs="Arial"/>
                <w:sz w:val="20"/>
                <w:szCs w:val="20"/>
                <w:lang w:val="en-US"/>
              </w:rPr>
              <w:t>,</w:t>
            </w:r>
            <w:r w:rsidRPr="005F2289">
              <w:rPr>
                <w:rFonts w:cs="Arial"/>
                <w:sz w:val="20"/>
                <w:szCs w:val="20"/>
                <w:lang w:val="en-US"/>
              </w:rPr>
              <w:t>341</w:t>
            </w:r>
          </w:p>
        </w:tc>
      </w:tr>
      <w:tr w:rsidR="005F2289" w:rsidRPr="005F2289" w:rsidTr="001F7855">
        <w:trPr>
          <w:cantSplit/>
        </w:trPr>
        <w:tc>
          <w:tcPr>
            <w:tcW w:w="3531" w:type="dxa"/>
            <w:vAlign w:val="bottom"/>
          </w:tcPr>
          <w:p w:rsidR="00C16609" w:rsidRPr="005F2289" w:rsidRDefault="00C16609" w:rsidP="00EF02B3">
            <w:pPr>
              <w:rPr>
                <w:rFonts w:cs="Arial"/>
                <w:b/>
                <w:sz w:val="20"/>
                <w:szCs w:val="20"/>
                <w:lang w:val="en-US"/>
              </w:rPr>
            </w:pPr>
            <w:r w:rsidRPr="005F2289">
              <w:rPr>
                <w:rFonts w:cs="Arial"/>
                <w:b/>
                <w:snapToGrid w:val="0"/>
                <w:sz w:val="20"/>
                <w:szCs w:val="20"/>
                <w:lang w:val="en-US"/>
              </w:rPr>
              <w:t xml:space="preserve">   Non-performing loans</w:t>
            </w:r>
          </w:p>
        </w:tc>
        <w:tc>
          <w:tcPr>
            <w:tcW w:w="2268" w:type="dxa"/>
            <w:vAlign w:val="bottom"/>
          </w:tcPr>
          <w:p w:rsidR="00C16609" w:rsidRPr="005F2289" w:rsidRDefault="00803299" w:rsidP="00C16609">
            <w:pPr>
              <w:jc w:val="right"/>
              <w:rPr>
                <w:rFonts w:cs="Arial"/>
                <w:sz w:val="20"/>
                <w:szCs w:val="20"/>
                <w:lang w:val="en-US"/>
              </w:rPr>
            </w:pPr>
            <w:r w:rsidRPr="005F2289">
              <w:rPr>
                <w:rFonts w:cs="Arial"/>
                <w:sz w:val="20"/>
                <w:szCs w:val="20"/>
                <w:lang w:val="en-US"/>
              </w:rPr>
              <w:t>12,241</w:t>
            </w:r>
          </w:p>
        </w:tc>
        <w:tc>
          <w:tcPr>
            <w:tcW w:w="2410" w:type="dxa"/>
            <w:vAlign w:val="bottom"/>
          </w:tcPr>
          <w:p w:rsidR="00C16609" w:rsidRPr="005F2289" w:rsidRDefault="00790D23" w:rsidP="00C16609">
            <w:pPr>
              <w:jc w:val="right"/>
              <w:rPr>
                <w:rFonts w:cs="Arial"/>
                <w:sz w:val="20"/>
                <w:szCs w:val="20"/>
                <w:lang w:val="en-US"/>
              </w:rPr>
            </w:pPr>
            <w:r w:rsidRPr="005F2289">
              <w:rPr>
                <w:rFonts w:cs="Arial"/>
                <w:sz w:val="20"/>
                <w:szCs w:val="20"/>
                <w:lang w:val="en-US"/>
              </w:rPr>
              <w:t>9</w:t>
            </w:r>
            <w:r w:rsidR="00C16609" w:rsidRPr="005F2289">
              <w:rPr>
                <w:rFonts w:cs="Arial"/>
                <w:sz w:val="20"/>
                <w:szCs w:val="20"/>
                <w:lang w:val="en-US"/>
              </w:rPr>
              <w:t>,</w:t>
            </w:r>
            <w:r w:rsidRPr="005F2289">
              <w:rPr>
                <w:rFonts w:cs="Arial"/>
                <w:sz w:val="20"/>
                <w:szCs w:val="20"/>
                <w:lang w:val="en-US"/>
              </w:rPr>
              <w:t>326</w:t>
            </w:r>
          </w:p>
        </w:tc>
      </w:tr>
      <w:tr w:rsidR="005F2289" w:rsidRPr="005F2289" w:rsidTr="001F7855">
        <w:trPr>
          <w:cantSplit/>
        </w:trPr>
        <w:tc>
          <w:tcPr>
            <w:tcW w:w="3531" w:type="dxa"/>
            <w:vAlign w:val="bottom"/>
          </w:tcPr>
          <w:p w:rsidR="00C16609" w:rsidRPr="005F2289" w:rsidRDefault="00280843" w:rsidP="00EF02B3">
            <w:pPr>
              <w:rPr>
                <w:rFonts w:cs="Arial"/>
                <w:b/>
                <w:sz w:val="20"/>
                <w:szCs w:val="20"/>
                <w:lang w:val="en-US"/>
              </w:rPr>
            </w:pPr>
            <w:r w:rsidRPr="005F2289">
              <w:rPr>
                <w:rFonts w:cs="Arial"/>
                <w:b/>
                <w:snapToGrid w:val="0"/>
                <w:sz w:val="20"/>
                <w:szCs w:val="20"/>
                <w:lang w:val="en-US"/>
              </w:rPr>
              <w:t>P</w:t>
            </w:r>
            <w:r w:rsidR="00C16609" w:rsidRPr="005F2289">
              <w:rPr>
                <w:rFonts w:cs="Arial"/>
                <w:b/>
                <w:snapToGrid w:val="0"/>
                <w:sz w:val="20"/>
                <w:szCs w:val="20"/>
                <w:lang w:val="en-US"/>
              </w:rPr>
              <w:t>rovisions (-)</w:t>
            </w:r>
          </w:p>
        </w:tc>
        <w:tc>
          <w:tcPr>
            <w:tcW w:w="2268" w:type="dxa"/>
            <w:vAlign w:val="bottom"/>
          </w:tcPr>
          <w:p w:rsidR="00C16609" w:rsidRPr="005F2289" w:rsidRDefault="00803299" w:rsidP="00C16609">
            <w:pPr>
              <w:jc w:val="right"/>
              <w:rPr>
                <w:rFonts w:cs="Arial"/>
                <w:sz w:val="20"/>
                <w:szCs w:val="20"/>
                <w:lang w:val="en-US"/>
              </w:rPr>
            </w:pPr>
            <w:r w:rsidRPr="005F2289">
              <w:rPr>
                <w:rFonts w:cs="Arial"/>
                <w:sz w:val="20"/>
                <w:szCs w:val="20"/>
                <w:lang w:val="en-US"/>
              </w:rPr>
              <w:t>10,433</w:t>
            </w:r>
          </w:p>
        </w:tc>
        <w:tc>
          <w:tcPr>
            <w:tcW w:w="2410" w:type="dxa"/>
            <w:vAlign w:val="bottom"/>
          </w:tcPr>
          <w:p w:rsidR="00C16609" w:rsidRPr="005F2289" w:rsidRDefault="00790D23" w:rsidP="00C16609">
            <w:pPr>
              <w:jc w:val="right"/>
              <w:rPr>
                <w:rFonts w:cs="Arial"/>
                <w:sz w:val="20"/>
                <w:szCs w:val="20"/>
                <w:lang w:val="en-US"/>
              </w:rPr>
            </w:pPr>
            <w:r w:rsidRPr="005F2289">
              <w:rPr>
                <w:rFonts w:cs="Arial"/>
                <w:sz w:val="20"/>
                <w:szCs w:val="20"/>
                <w:lang w:val="en-US"/>
              </w:rPr>
              <w:t>7</w:t>
            </w:r>
            <w:r w:rsidR="00C16609" w:rsidRPr="005F2289">
              <w:rPr>
                <w:rFonts w:cs="Arial"/>
                <w:sz w:val="20"/>
                <w:szCs w:val="20"/>
                <w:lang w:val="en-US"/>
              </w:rPr>
              <w:t>,</w:t>
            </w:r>
            <w:r w:rsidRPr="005F2289">
              <w:rPr>
                <w:rFonts w:cs="Arial"/>
                <w:sz w:val="20"/>
                <w:szCs w:val="20"/>
                <w:lang w:val="en-US"/>
              </w:rPr>
              <w:t>667</w:t>
            </w:r>
          </w:p>
        </w:tc>
      </w:tr>
      <w:tr w:rsidR="005F2289" w:rsidRPr="005F2289" w:rsidTr="001F7855">
        <w:trPr>
          <w:cantSplit/>
        </w:trPr>
        <w:tc>
          <w:tcPr>
            <w:tcW w:w="3531" w:type="dxa"/>
          </w:tcPr>
          <w:p w:rsidR="00A3351E" w:rsidRPr="005F2289" w:rsidRDefault="00A3351E" w:rsidP="00EF02B3">
            <w:pPr>
              <w:rPr>
                <w:rFonts w:cs="Arial"/>
                <w:b/>
                <w:snapToGrid w:val="0"/>
                <w:sz w:val="20"/>
                <w:szCs w:val="20"/>
                <w:lang w:val="en-US"/>
              </w:rPr>
            </w:pPr>
            <w:r w:rsidRPr="005F2289">
              <w:rPr>
                <w:rFonts w:cs="Arial"/>
                <w:b/>
                <w:snapToGrid w:val="0"/>
                <w:sz w:val="20"/>
                <w:szCs w:val="20"/>
                <w:lang w:val="en-US"/>
              </w:rPr>
              <w:t>Deposits</w:t>
            </w:r>
          </w:p>
        </w:tc>
        <w:tc>
          <w:tcPr>
            <w:tcW w:w="2268" w:type="dxa"/>
            <w:vAlign w:val="bottom"/>
          </w:tcPr>
          <w:p w:rsidR="00A3351E" w:rsidRPr="005F2289" w:rsidRDefault="00DF49D9" w:rsidP="00C16609">
            <w:pPr>
              <w:jc w:val="right"/>
              <w:rPr>
                <w:rFonts w:cs="Arial"/>
                <w:sz w:val="20"/>
                <w:szCs w:val="20"/>
                <w:lang w:val="en-US"/>
              </w:rPr>
            </w:pPr>
            <w:r w:rsidRPr="005F2289">
              <w:rPr>
                <w:rFonts w:cs="Arial"/>
                <w:sz w:val="20"/>
                <w:szCs w:val="20"/>
                <w:lang w:val="en-US"/>
              </w:rPr>
              <w:t>379,77</w:t>
            </w:r>
            <w:r w:rsidR="00B66A63" w:rsidRPr="005F2289">
              <w:rPr>
                <w:rFonts w:cs="Arial"/>
                <w:sz w:val="20"/>
                <w:szCs w:val="20"/>
                <w:lang w:val="en-US"/>
              </w:rPr>
              <w:t>9</w:t>
            </w:r>
          </w:p>
        </w:tc>
        <w:tc>
          <w:tcPr>
            <w:tcW w:w="2410" w:type="dxa"/>
            <w:vAlign w:val="bottom"/>
          </w:tcPr>
          <w:p w:rsidR="00A3351E" w:rsidRPr="005F2289" w:rsidRDefault="00790D23" w:rsidP="00C16609">
            <w:pPr>
              <w:jc w:val="right"/>
              <w:rPr>
                <w:rFonts w:cs="Arial"/>
                <w:sz w:val="20"/>
                <w:szCs w:val="20"/>
                <w:lang w:val="en-US"/>
              </w:rPr>
            </w:pPr>
            <w:r w:rsidRPr="005F2289">
              <w:rPr>
                <w:rFonts w:cs="Arial"/>
                <w:sz w:val="20"/>
                <w:szCs w:val="20"/>
                <w:lang w:val="en-US"/>
              </w:rPr>
              <w:t>349</w:t>
            </w:r>
            <w:r w:rsidR="00BC5FB9" w:rsidRPr="005F2289">
              <w:rPr>
                <w:rFonts w:cs="Arial"/>
                <w:sz w:val="20"/>
                <w:szCs w:val="20"/>
                <w:lang w:val="en-US"/>
              </w:rPr>
              <w:t>,</w:t>
            </w:r>
            <w:r w:rsidRPr="005F2289">
              <w:rPr>
                <w:rFonts w:cs="Arial"/>
                <w:sz w:val="20"/>
                <w:szCs w:val="20"/>
                <w:lang w:val="en-US"/>
              </w:rPr>
              <w:t>373</w:t>
            </w:r>
          </w:p>
        </w:tc>
      </w:tr>
      <w:tr w:rsidR="005F2289" w:rsidRPr="005F2289" w:rsidTr="001F7855">
        <w:trPr>
          <w:cantSplit/>
        </w:trPr>
        <w:tc>
          <w:tcPr>
            <w:tcW w:w="3531" w:type="dxa"/>
          </w:tcPr>
          <w:p w:rsidR="00C16609" w:rsidRPr="005F2289" w:rsidRDefault="00C16609" w:rsidP="00BC5FB9">
            <w:pPr>
              <w:rPr>
                <w:rFonts w:cs="Arial"/>
                <w:b/>
                <w:snapToGrid w:val="0"/>
                <w:sz w:val="20"/>
                <w:szCs w:val="20"/>
                <w:lang w:val="en-US"/>
              </w:rPr>
            </w:pPr>
            <w:r w:rsidRPr="005F2289">
              <w:rPr>
                <w:rFonts w:cs="Arial"/>
                <w:b/>
                <w:snapToGrid w:val="0"/>
                <w:sz w:val="20"/>
                <w:szCs w:val="20"/>
                <w:lang w:val="en-US"/>
              </w:rPr>
              <w:t xml:space="preserve">   -TL</w:t>
            </w:r>
          </w:p>
        </w:tc>
        <w:tc>
          <w:tcPr>
            <w:tcW w:w="2268" w:type="dxa"/>
            <w:vAlign w:val="bottom"/>
          </w:tcPr>
          <w:p w:rsidR="00C16609" w:rsidRPr="005F2289" w:rsidRDefault="00803299" w:rsidP="00C16609">
            <w:pPr>
              <w:jc w:val="right"/>
              <w:rPr>
                <w:rFonts w:cs="Arial"/>
                <w:sz w:val="20"/>
                <w:szCs w:val="20"/>
                <w:lang w:val="en-US"/>
              </w:rPr>
            </w:pPr>
            <w:r w:rsidRPr="005F2289">
              <w:rPr>
                <w:rFonts w:cs="Arial"/>
                <w:sz w:val="20"/>
                <w:szCs w:val="20"/>
                <w:lang w:val="en-US"/>
              </w:rPr>
              <w:t>267,548</w:t>
            </w:r>
          </w:p>
        </w:tc>
        <w:tc>
          <w:tcPr>
            <w:tcW w:w="2410" w:type="dxa"/>
            <w:vAlign w:val="bottom"/>
          </w:tcPr>
          <w:p w:rsidR="00C16609" w:rsidRPr="005F2289" w:rsidRDefault="00790D23" w:rsidP="00C16609">
            <w:pPr>
              <w:jc w:val="right"/>
              <w:rPr>
                <w:rFonts w:cs="Arial"/>
                <w:sz w:val="20"/>
                <w:szCs w:val="20"/>
                <w:lang w:val="en-US"/>
              </w:rPr>
            </w:pPr>
            <w:r w:rsidRPr="005F2289">
              <w:rPr>
                <w:rFonts w:cs="Arial"/>
                <w:sz w:val="20"/>
                <w:szCs w:val="20"/>
                <w:lang w:val="en-US"/>
              </w:rPr>
              <w:t>234</w:t>
            </w:r>
            <w:r w:rsidR="00C16609" w:rsidRPr="005F2289">
              <w:rPr>
                <w:rFonts w:cs="Arial"/>
                <w:sz w:val="20"/>
                <w:szCs w:val="20"/>
                <w:lang w:val="en-US"/>
              </w:rPr>
              <w:t>,</w:t>
            </w:r>
            <w:r w:rsidRPr="005F2289">
              <w:rPr>
                <w:rFonts w:cs="Arial"/>
                <w:sz w:val="20"/>
                <w:szCs w:val="20"/>
                <w:lang w:val="en-US"/>
              </w:rPr>
              <w:t>441</w:t>
            </w:r>
          </w:p>
        </w:tc>
      </w:tr>
      <w:tr w:rsidR="005F2289" w:rsidRPr="005F2289" w:rsidTr="001F7855">
        <w:trPr>
          <w:cantSplit/>
        </w:trPr>
        <w:tc>
          <w:tcPr>
            <w:tcW w:w="3531" w:type="dxa"/>
          </w:tcPr>
          <w:p w:rsidR="00C16609" w:rsidRPr="005F2289" w:rsidRDefault="00C16609" w:rsidP="00BC5FB9">
            <w:pPr>
              <w:rPr>
                <w:rFonts w:cs="Arial"/>
                <w:b/>
                <w:snapToGrid w:val="0"/>
                <w:sz w:val="20"/>
                <w:szCs w:val="20"/>
                <w:lang w:val="en-US"/>
              </w:rPr>
            </w:pPr>
            <w:r w:rsidRPr="005F2289">
              <w:rPr>
                <w:rFonts w:cs="Arial"/>
                <w:b/>
                <w:snapToGrid w:val="0"/>
                <w:sz w:val="20"/>
                <w:szCs w:val="20"/>
                <w:lang w:val="en-US"/>
              </w:rPr>
              <w:t xml:space="preserve">   -FX</w:t>
            </w:r>
          </w:p>
        </w:tc>
        <w:tc>
          <w:tcPr>
            <w:tcW w:w="2268" w:type="dxa"/>
            <w:vAlign w:val="bottom"/>
          </w:tcPr>
          <w:p w:rsidR="00C16609" w:rsidRPr="005F2289" w:rsidRDefault="00803299" w:rsidP="00C16609">
            <w:pPr>
              <w:jc w:val="right"/>
              <w:rPr>
                <w:rFonts w:cs="Arial"/>
                <w:sz w:val="20"/>
                <w:szCs w:val="20"/>
                <w:lang w:val="en-US"/>
              </w:rPr>
            </w:pPr>
            <w:r w:rsidRPr="005F2289">
              <w:rPr>
                <w:rFonts w:cs="Arial"/>
                <w:sz w:val="20"/>
                <w:szCs w:val="20"/>
                <w:lang w:val="en-US"/>
              </w:rPr>
              <w:t>112,231</w:t>
            </w:r>
          </w:p>
        </w:tc>
        <w:tc>
          <w:tcPr>
            <w:tcW w:w="2410" w:type="dxa"/>
            <w:vAlign w:val="bottom"/>
          </w:tcPr>
          <w:p w:rsidR="00C16609" w:rsidRPr="005F2289" w:rsidRDefault="00790D23" w:rsidP="00C16609">
            <w:pPr>
              <w:jc w:val="right"/>
              <w:rPr>
                <w:rFonts w:cs="Arial"/>
                <w:sz w:val="20"/>
                <w:szCs w:val="20"/>
                <w:lang w:val="en-US"/>
              </w:rPr>
            </w:pPr>
            <w:r w:rsidRPr="005F2289">
              <w:rPr>
                <w:rFonts w:cs="Arial"/>
                <w:sz w:val="20"/>
                <w:szCs w:val="20"/>
                <w:lang w:val="en-US"/>
              </w:rPr>
              <w:t>114932</w:t>
            </w:r>
          </w:p>
        </w:tc>
      </w:tr>
      <w:tr w:rsidR="005F2289" w:rsidRPr="005F2289" w:rsidTr="001F7855">
        <w:trPr>
          <w:cantSplit/>
        </w:trPr>
        <w:tc>
          <w:tcPr>
            <w:tcW w:w="3531" w:type="dxa"/>
          </w:tcPr>
          <w:p w:rsidR="00A3351E" w:rsidRPr="005F2289" w:rsidRDefault="00BC5FB9" w:rsidP="00FA63EA">
            <w:pPr>
              <w:rPr>
                <w:rFonts w:cs="Arial"/>
                <w:b/>
                <w:snapToGrid w:val="0"/>
                <w:sz w:val="20"/>
                <w:szCs w:val="20"/>
                <w:lang w:val="en-US"/>
              </w:rPr>
            </w:pPr>
            <w:r w:rsidRPr="005F2289">
              <w:rPr>
                <w:rFonts w:cs="Arial"/>
                <w:b/>
                <w:snapToGrid w:val="0"/>
                <w:sz w:val="20"/>
                <w:szCs w:val="20"/>
                <w:lang w:val="en-US"/>
              </w:rPr>
              <w:t>Funds Borrowed from Banks</w:t>
            </w:r>
          </w:p>
        </w:tc>
        <w:tc>
          <w:tcPr>
            <w:tcW w:w="2268" w:type="dxa"/>
            <w:vAlign w:val="bottom"/>
          </w:tcPr>
          <w:p w:rsidR="00A3351E" w:rsidRPr="005F2289" w:rsidRDefault="002C221A" w:rsidP="00C16609">
            <w:pPr>
              <w:jc w:val="right"/>
              <w:rPr>
                <w:rFonts w:cs="Arial"/>
                <w:sz w:val="20"/>
                <w:szCs w:val="20"/>
                <w:lang w:val="en-US"/>
              </w:rPr>
            </w:pPr>
            <w:r w:rsidRPr="005F2289">
              <w:rPr>
                <w:rFonts w:cs="Arial"/>
                <w:sz w:val="20"/>
                <w:szCs w:val="20"/>
                <w:lang w:val="en-US"/>
              </w:rPr>
              <w:t>78,078</w:t>
            </w:r>
          </w:p>
        </w:tc>
        <w:tc>
          <w:tcPr>
            <w:tcW w:w="2410" w:type="dxa"/>
            <w:vAlign w:val="bottom"/>
          </w:tcPr>
          <w:p w:rsidR="00A3351E" w:rsidRPr="005F2289" w:rsidRDefault="00FD7FDA" w:rsidP="00C16609">
            <w:pPr>
              <w:jc w:val="right"/>
              <w:rPr>
                <w:rFonts w:cs="Arial"/>
                <w:sz w:val="20"/>
                <w:szCs w:val="20"/>
                <w:lang w:val="en-US"/>
              </w:rPr>
            </w:pPr>
            <w:r w:rsidRPr="005F2289">
              <w:rPr>
                <w:rFonts w:cs="Arial"/>
                <w:sz w:val="20"/>
                <w:szCs w:val="20"/>
                <w:lang w:val="en-US"/>
              </w:rPr>
              <w:t>84</w:t>
            </w:r>
            <w:r w:rsidR="002C221A" w:rsidRPr="005F2289">
              <w:rPr>
                <w:rFonts w:cs="Arial"/>
                <w:sz w:val="20"/>
                <w:szCs w:val="20"/>
                <w:lang w:val="en-US"/>
              </w:rPr>
              <w:t>,</w:t>
            </w:r>
            <w:r w:rsidRPr="005F2289">
              <w:rPr>
                <w:rFonts w:cs="Arial"/>
                <w:sz w:val="20"/>
                <w:szCs w:val="20"/>
                <w:lang w:val="en-US"/>
              </w:rPr>
              <w:t>055</w:t>
            </w:r>
          </w:p>
        </w:tc>
      </w:tr>
      <w:tr w:rsidR="005F2289" w:rsidRPr="005F2289" w:rsidTr="001F7855">
        <w:trPr>
          <w:cantSplit/>
        </w:trPr>
        <w:tc>
          <w:tcPr>
            <w:tcW w:w="3531" w:type="dxa"/>
          </w:tcPr>
          <w:p w:rsidR="00BC5FB9" w:rsidRPr="005F2289" w:rsidRDefault="00BC5FB9" w:rsidP="00EF02B3">
            <w:pPr>
              <w:rPr>
                <w:rFonts w:cs="Arial"/>
                <w:b/>
                <w:snapToGrid w:val="0"/>
                <w:sz w:val="20"/>
                <w:szCs w:val="20"/>
                <w:lang w:val="en-US"/>
              </w:rPr>
            </w:pPr>
            <w:r w:rsidRPr="005F2289">
              <w:rPr>
                <w:rFonts w:cs="Arial"/>
                <w:b/>
                <w:sz w:val="20"/>
                <w:szCs w:val="20"/>
                <w:lang w:val="en-US"/>
              </w:rPr>
              <w:t>Repurchase Agreements</w:t>
            </w:r>
          </w:p>
        </w:tc>
        <w:tc>
          <w:tcPr>
            <w:tcW w:w="2268" w:type="dxa"/>
            <w:vAlign w:val="bottom"/>
          </w:tcPr>
          <w:p w:rsidR="00BC5FB9" w:rsidRPr="005F2289" w:rsidRDefault="002C221A" w:rsidP="00C16609">
            <w:pPr>
              <w:jc w:val="right"/>
              <w:rPr>
                <w:rFonts w:cs="Arial"/>
                <w:sz w:val="20"/>
                <w:szCs w:val="20"/>
                <w:lang w:val="en-US"/>
              </w:rPr>
            </w:pPr>
            <w:r w:rsidRPr="005F2289">
              <w:rPr>
                <w:rFonts w:cs="Arial"/>
                <w:sz w:val="20"/>
                <w:szCs w:val="20"/>
                <w:lang w:val="en-US"/>
              </w:rPr>
              <w:t>37,397</w:t>
            </w:r>
          </w:p>
        </w:tc>
        <w:tc>
          <w:tcPr>
            <w:tcW w:w="2410" w:type="dxa"/>
            <w:vAlign w:val="bottom"/>
          </w:tcPr>
          <w:p w:rsidR="00BC5FB9" w:rsidRPr="005F2289" w:rsidRDefault="00FD7FDA" w:rsidP="00C16609">
            <w:pPr>
              <w:jc w:val="right"/>
              <w:rPr>
                <w:rFonts w:cs="Arial"/>
                <w:sz w:val="20"/>
                <w:szCs w:val="20"/>
                <w:lang w:val="en-US"/>
              </w:rPr>
            </w:pPr>
            <w:r w:rsidRPr="005F2289">
              <w:rPr>
                <w:rFonts w:cs="Arial"/>
                <w:sz w:val="20"/>
                <w:szCs w:val="20"/>
                <w:lang w:val="en-US"/>
              </w:rPr>
              <w:t>62</w:t>
            </w:r>
            <w:r w:rsidR="002C221A" w:rsidRPr="005F2289">
              <w:rPr>
                <w:rFonts w:cs="Arial"/>
                <w:sz w:val="20"/>
                <w:szCs w:val="20"/>
                <w:lang w:val="en-US"/>
              </w:rPr>
              <w:t>,</w:t>
            </w:r>
            <w:r w:rsidRPr="005F2289">
              <w:rPr>
                <w:rFonts w:cs="Arial"/>
                <w:sz w:val="20"/>
                <w:szCs w:val="20"/>
                <w:lang w:val="en-US"/>
              </w:rPr>
              <w:t>423</w:t>
            </w:r>
          </w:p>
        </w:tc>
      </w:tr>
      <w:tr w:rsidR="005F2289" w:rsidRPr="005F2289" w:rsidTr="001F7855">
        <w:trPr>
          <w:cantSplit/>
        </w:trPr>
        <w:tc>
          <w:tcPr>
            <w:tcW w:w="3531" w:type="dxa"/>
          </w:tcPr>
          <w:p w:rsidR="00A3351E" w:rsidRPr="005F2289" w:rsidRDefault="00FA63EA" w:rsidP="00EF02B3">
            <w:pPr>
              <w:rPr>
                <w:rFonts w:cs="Arial"/>
                <w:b/>
                <w:snapToGrid w:val="0"/>
                <w:sz w:val="20"/>
                <w:szCs w:val="20"/>
                <w:lang w:val="en-US"/>
              </w:rPr>
            </w:pPr>
            <w:r w:rsidRPr="005F2289">
              <w:rPr>
                <w:rFonts w:cs="Arial"/>
                <w:b/>
                <w:snapToGrid w:val="0"/>
                <w:sz w:val="20"/>
                <w:szCs w:val="20"/>
                <w:lang w:val="en-US"/>
              </w:rPr>
              <w:t xml:space="preserve">Shareholder’s </w:t>
            </w:r>
            <w:r w:rsidR="00A3351E" w:rsidRPr="005F2289">
              <w:rPr>
                <w:rFonts w:cs="Arial"/>
                <w:b/>
                <w:snapToGrid w:val="0"/>
                <w:sz w:val="20"/>
                <w:szCs w:val="20"/>
                <w:lang w:val="en-US"/>
              </w:rPr>
              <w:t>Equity</w:t>
            </w:r>
          </w:p>
        </w:tc>
        <w:tc>
          <w:tcPr>
            <w:tcW w:w="2268" w:type="dxa"/>
            <w:vAlign w:val="bottom"/>
          </w:tcPr>
          <w:p w:rsidR="00A3351E" w:rsidRPr="005F2289" w:rsidRDefault="00DF49D9" w:rsidP="00C16609">
            <w:pPr>
              <w:jc w:val="right"/>
              <w:rPr>
                <w:rFonts w:cs="Arial"/>
                <w:sz w:val="20"/>
                <w:szCs w:val="20"/>
                <w:lang w:val="en-US"/>
              </w:rPr>
            </w:pPr>
            <w:r w:rsidRPr="005F2289">
              <w:rPr>
                <w:rFonts w:cs="Arial"/>
                <w:sz w:val="20"/>
                <w:szCs w:val="20"/>
                <w:lang w:val="en-US"/>
              </w:rPr>
              <w:t>83,787</w:t>
            </w:r>
          </w:p>
        </w:tc>
        <w:tc>
          <w:tcPr>
            <w:tcW w:w="2410" w:type="dxa"/>
            <w:vAlign w:val="bottom"/>
          </w:tcPr>
          <w:p w:rsidR="00A3351E" w:rsidRPr="005F2289" w:rsidRDefault="00FD7FDA" w:rsidP="00C16609">
            <w:pPr>
              <w:jc w:val="right"/>
              <w:rPr>
                <w:rFonts w:cs="Arial"/>
                <w:sz w:val="20"/>
                <w:szCs w:val="20"/>
                <w:lang w:val="en-US"/>
              </w:rPr>
            </w:pPr>
            <w:r w:rsidRPr="005F2289">
              <w:rPr>
                <w:rFonts w:cs="Arial"/>
                <w:sz w:val="20"/>
                <w:szCs w:val="20"/>
                <w:lang w:val="en-US"/>
              </w:rPr>
              <w:t>73</w:t>
            </w:r>
            <w:r w:rsidR="00BC5FB9" w:rsidRPr="005F2289">
              <w:rPr>
                <w:rFonts w:cs="Arial"/>
                <w:sz w:val="20"/>
                <w:szCs w:val="20"/>
                <w:lang w:val="en-US"/>
              </w:rPr>
              <w:t>,</w:t>
            </w:r>
            <w:r w:rsidRPr="005F2289">
              <w:rPr>
                <w:rFonts w:cs="Arial"/>
                <w:sz w:val="20"/>
                <w:szCs w:val="20"/>
                <w:lang w:val="en-US"/>
              </w:rPr>
              <w:t>237</w:t>
            </w:r>
          </w:p>
        </w:tc>
      </w:tr>
      <w:tr w:rsidR="005F2289" w:rsidRPr="005F2289" w:rsidTr="001F7855">
        <w:trPr>
          <w:cantSplit/>
        </w:trPr>
        <w:tc>
          <w:tcPr>
            <w:tcW w:w="3531" w:type="dxa"/>
          </w:tcPr>
          <w:p w:rsidR="00C16609" w:rsidRPr="005F2289" w:rsidRDefault="00C16609" w:rsidP="00EF02B3">
            <w:pPr>
              <w:rPr>
                <w:rFonts w:cs="Arial"/>
                <w:b/>
                <w:snapToGrid w:val="0"/>
                <w:sz w:val="20"/>
                <w:szCs w:val="20"/>
                <w:lang w:val="en-US"/>
              </w:rPr>
            </w:pPr>
            <w:r w:rsidRPr="005F2289">
              <w:rPr>
                <w:rFonts w:cs="Arial"/>
                <w:b/>
                <w:sz w:val="20"/>
                <w:szCs w:val="20"/>
                <w:lang w:val="en-US"/>
              </w:rPr>
              <w:t>Total Assets</w:t>
            </w:r>
          </w:p>
        </w:tc>
        <w:tc>
          <w:tcPr>
            <w:tcW w:w="2268" w:type="dxa"/>
            <w:vAlign w:val="bottom"/>
          </w:tcPr>
          <w:p w:rsidR="00C16609" w:rsidRPr="005F2289" w:rsidRDefault="00820476" w:rsidP="00C16609">
            <w:pPr>
              <w:jc w:val="right"/>
              <w:rPr>
                <w:rFonts w:cs="Arial"/>
                <w:sz w:val="20"/>
                <w:szCs w:val="20"/>
                <w:lang w:val="en-US"/>
              </w:rPr>
            </w:pPr>
            <w:r w:rsidRPr="005F2289">
              <w:rPr>
                <w:rFonts w:cs="Arial"/>
                <w:sz w:val="20"/>
                <w:szCs w:val="20"/>
                <w:lang w:val="en-US"/>
              </w:rPr>
              <w:t>627,092</w:t>
            </w:r>
          </w:p>
        </w:tc>
        <w:tc>
          <w:tcPr>
            <w:tcW w:w="2410" w:type="dxa"/>
            <w:vAlign w:val="bottom"/>
          </w:tcPr>
          <w:p w:rsidR="00C16609" w:rsidRPr="005F2289" w:rsidRDefault="00FD7FDA" w:rsidP="00C16609">
            <w:pPr>
              <w:jc w:val="right"/>
              <w:rPr>
                <w:rFonts w:cs="Arial"/>
                <w:sz w:val="20"/>
                <w:szCs w:val="20"/>
                <w:lang w:val="en-US"/>
              </w:rPr>
            </w:pPr>
            <w:r w:rsidRPr="005F2289">
              <w:rPr>
                <w:rFonts w:cs="Arial"/>
                <w:sz w:val="20"/>
                <w:szCs w:val="20"/>
                <w:lang w:val="en-US"/>
              </w:rPr>
              <w:t>626,6</w:t>
            </w:r>
            <w:r w:rsidR="00C16609" w:rsidRPr="005F2289">
              <w:rPr>
                <w:rFonts w:cs="Arial"/>
                <w:sz w:val="20"/>
                <w:szCs w:val="20"/>
                <w:lang w:val="en-US"/>
              </w:rPr>
              <w:t>68</w:t>
            </w:r>
          </w:p>
        </w:tc>
      </w:tr>
      <w:tr w:rsidR="005F2289" w:rsidRPr="005F2289" w:rsidTr="001F7855">
        <w:trPr>
          <w:cantSplit/>
        </w:trPr>
        <w:tc>
          <w:tcPr>
            <w:tcW w:w="3531" w:type="dxa"/>
            <w:vAlign w:val="bottom"/>
          </w:tcPr>
          <w:p w:rsidR="00FA63EA" w:rsidRPr="005F2289" w:rsidRDefault="00FA63EA" w:rsidP="00EF02B3">
            <w:pPr>
              <w:rPr>
                <w:rFonts w:cs="Arial"/>
                <w:b/>
                <w:sz w:val="20"/>
                <w:szCs w:val="20"/>
                <w:u w:val="single"/>
                <w:lang w:val="en-US"/>
              </w:rPr>
            </w:pPr>
          </w:p>
        </w:tc>
        <w:tc>
          <w:tcPr>
            <w:tcW w:w="2268" w:type="dxa"/>
            <w:vAlign w:val="bottom"/>
          </w:tcPr>
          <w:p w:rsidR="00FA63EA" w:rsidRPr="005F2289" w:rsidRDefault="00FA63EA" w:rsidP="00C16609">
            <w:pPr>
              <w:jc w:val="right"/>
              <w:rPr>
                <w:rFonts w:cs="Arial"/>
                <w:sz w:val="20"/>
                <w:szCs w:val="20"/>
                <w:lang w:val="en-US"/>
              </w:rPr>
            </w:pPr>
          </w:p>
        </w:tc>
        <w:tc>
          <w:tcPr>
            <w:tcW w:w="2410" w:type="dxa"/>
            <w:vAlign w:val="bottom"/>
          </w:tcPr>
          <w:p w:rsidR="00FA63EA" w:rsidRPr="005F2289" w:rsidRDefault="00FA63EA" w:rsidP="00C16609">
            <w:pPr>
              <w:jc w:val="right"/>
              <w:rPr>
                <w:rFonts w:cs="Arial"/>
                <w:sz w:val="20"/>
                <w:szCs w:val="20"/>
                <w:lang w:val="en-US"/>
              </w:rPr>
            </w:pPr>
          </w:p>
        </w:tc>
      </w:tr>
      <w:tr w:rsidR="005F2289" w:rsidRPr="005F2289" w:rsidTr="001F7855">
        <w:trPr>
          <w:cantSplit/>
        </w:trPr>
        <w:tc>
          <w:tcPr>
            <w:tcW w:w="3531" w:type="dxa"/>
            <w:vAlign w:val="bottom"/>
          </w:tcPr>
          <w:p w:rsidR="00BC5FB9" w:rsidRPr="005F2289" w:rsidRDefault="00BC5FB9" w:rsidP="00EF02B3">
            <w:pPr>
              <w:rPr>
                <w:rFonts w:cs="Arial"/>
                <w:b/>
                <w:sz w:val="20"/>
                <w:szCs w:val="20"/>
                <w:u w:val="single"/>
                <w:lang w:val="en-US"/>
              </w:rPr>
            </w:pPr>
            <w:r w:rsidRPr="005F2289">
              <w:rPr>
                <w:rFonts w:cs="Arial"/>
                <w:b/>
                <w:sz w:val="20"/>
                <w:szCs w:val="20"/>
                <w:u w:val="single"/>
                <w:lang w:val="en-US"/>
              </w:rPr>
              <w:t>Selected Ratios</w:t>
            </w:r>
            <w:r w:rsidR="00FA63EA" w:rsidRPr="005F2289">
              <w:rPr>
                <w:rFonts w:cs="Arial"/>
                <w:b/>
                <w:sz w:val="20"/>
                <w:szCs w:val="20"/>
                <w:u w:val="single"/>
                <w:lang w:val="en-US"/>
              </w:rPr>
              <w:t xml:space="preserve"> (%)</w:t>
            </w:r>
          </w:p>
        </w:tc>
        <w:tc>
          <w:tcPr>
            <w:tcW w:w="2268" w:type="dxa"/>
            <w:vAlign w:val="bottom"/>
          </w:tcPr>
          <w:p w:rsidR="00BC5FB9" w:rsidRPr="005F2289" w:rsidRDefault="00BC5FB9" w:rsidP="00C16609">
            <w:pPr>
              <w:jc w:val="right"/>
              <w:rPr>
                <w:rFonts w:cs="Arial"/>
                <w:sz w:val="20"/>
                <w:szCs w:val="20"/>
                <w:lang w:val="en-US"/>
              </w:rPr>
            </w:pPr>
          </w:p>
        </w:tc>
        <w:tc>
          <w:tcPr>
            <w:tcW w:w="2410" w:type="dxa"/>
            <w:vAlign w:val="bottom"/>
          </w:tcPr>
          <w:p w:rsidR="00BC5FB9" w:rsidRPr="005F2289" w:rsidRDefault="00BC5FB9" w:rsidP="00C16609">
            <w:pPr>
              <w:jc w:val="right"/>
              <w:rPr>
                <w:rFonts w:cs="Arial"/>
                <w:sz w:val="20"/>
                <w:szCs w:val="20"/>
                <w:lang w:val="en-US"/>
              </w:rPr>
            </w:pPr>
          </w:p>
        </w:tc>
      </w:tr>
      <w:tr w:rsidR="005F2289" w:rsidRPr="005F2289" w:rsidTr="001F7855">
        <w:trPr>
          <w:cantSplit/>
        </w:trPr>
        <w:tc>
          <w:tcPr>
            <w:tcW w:w="3531" w:type="dxa"/>
            <w:vAlign w:val="bottom"/>
          </w:tcPr>
          <w:p w:rsidR="00A3351E" w:rsidRPr="005F2289" w:rsidRDefault="00BC5FB9" w:rsidP="00EF02B3">
            <w:pPr>
              <w:rPr>
                <w:rFonts w:cs="Arial"/>
                <w:b/>
                <w:sz w:val="20"/>
                <w:szCs w:val="20"/>
                <w:lang w:val="en-US"/>
              </w:rPr>
            </w:pPr>
            <w:r w:rsidRPr="005F2289">
              <w:rPr>
                <w:rFonts w:cs="Arial"/>
                <w:b/>
                <w:sz w:val="20"/>
                <w:szCs w:val="20"/>
                <w:lang w:val="en-US"/>
              </w:rPr>
              <w:t xml:space="preserve">Loans / </w:t>
            </w:r>
            <w:proofErr w:type="spellStart"/>
            <w:r w:rsidR="00C16609" w:rsidRPr="005F2289">
              <w:rPr>
                <w:rFonts w:cs="Arial"/>
                <w:b/>
                <w:sz w:val="20"/>
                <w:szCs w:val="20"/>
                <w:lang w:val="en-US"/>
              </w:rPr>
              <w:t>gdp</w:t>
            </w:r>
            <w:proofErr w:type="spellEnd"/>
          </w:p>
        </w:tc>
        <w:tc>
          <w:tcPr>
            <w:tcW w:w="2268" w:type="dxa"/>
            <w:vAlign w:val="bottom"/>
          </w:tcPr>
          <w:p w:rsidR="00A3351E" w:rsidRPr="005F2289" w:rsidRDefault="000753BE" w:rsidP="00C16609">
            <w:pPr>
              <w:jc w:val="right"/>
              <w:rPr>
                <w:rFonts w:cs="Arial"/>
                <w:sz w:val="20"/>
                <w:szCs w:val="20"/>
                <w:lang w:val="en-US"/>
              </w:rPr>
            </w:pPr>
            <w:r w:rsidRPr="005F2289">
              <w:rPr>
                <w:rFonts w:cs="Arial"/>
                <w:sz w:val="20"/>
                <w:szCs w:val="20"/>
                <w:lang w:val="en-US"/>
              </w:rPr>
              <w:t>45</w:t>
            </w:r>
          </w:p>
        </w:tc>
        <w:tc>
          <w:tcPr>
            <w:tcW w:w="2410" w:type="dxa"/>
            <w:vAlign w:val="bottom"/>
          </w:tcPr>
          <w:p w:rsidR="00A3351E" w:rsidRPr="005F2289" w:rsidRDefault="000753BE" w:rsidP="00C16609">
            <w:pPr>
              <w:jc w:val="right"/>
              <w:rPr>
                <w:rFonts w:cs="Arial"/>
                <w:sz w:val="20"/>
                <w:szCs w:val="20"/>
                <w:lang w:val="en-US"/>
              </w:rPr>
            </w:pPr>
            <w:r w:rsidRPr="005F2289">
              <w:rPr>
                <w:rFonts w:cs="Arial"/>
                <w:sz w:val="20"/>
                <w:szCs w:val="20"/>
                <w:lang w:val="en-US"/>
              </w:rPr>
              <w:t>5</w:t>
            </w:r>
            <w:r w:rsidR="003955F6" w:rsidRPr="005F2289">
              <w:rPr>
                <w:rFonts w:cs="Arial"/>
                <w:sz w:val="20"/>
                <w:szCs w:val="20"/>
                <w:lang w:val="en-US"/>
              </w:rPr>
              <w:t>2</w:t>
            </w:r>
          </w:p>
        </w:tc>
      </w:tr>
      <w:tr w:rsidR="005F2289" w:rsidRPr="005F2289" w:rsidTr="002B191A">
        <w:trPr>
          <w:cantSplit/>
        </w:trPr>
        <w:tc>
          <w:tcPr>
            <w:tcW w:w="3531" w:type="dxa"/>
            <w:vAlign w:val="bottom"/>
          </w:tcPr>
          <w:p w:rsidR="00BC5FB9" w:rsidRPr="005F2289" w:rsidRDefault="00BC5FB9" w:rsidP="00EF02B3">
            <w:pPr>
              <w:rPr>
                <w:rFonts w:cs="Arial"/>
                <w:b/>
                <w:sz w:val="20"/>
                <w:szCs w:val="20"/>
                <w:lang w:val="en-US"/>
              </w:rPr>
            </w:pPr>
            <w:r w:rsidRPr="005F2289">
              <w:rPr>
                <w:rFonts w:cs="Arial"/>
                <w:b/>
                <w:sz w:val="20"/>
                <w:szCs w:val="20"/>
                <w:lang w:val="en-US"/>
              </w:rPr>
              <w:t>NPLs</w:t>
            </w:r>
            <w:r w:rsidR="00585F55" w:rsidRPr="005F2289">
              <w:rPr>
                <w:rFonts w:cs="Arial"/>
                <w:b/>
                <w:sz w:val="20"/>
                <w:szCs w:val="20"/>
                <w:lang w:val="en-US"/>
              </w:rPr>
              <w:t xml:space="preserve"> (gross</w:t>
            </w:r>
            <w:r w:rsidR="004B086D" w:rsidRPr="005F2289">
              <w:rPr>
                <w:rFonts w:cs="Arial"/>
                <w:b/>
                <w:sz w:val="20"/>
                <w:szCs w:val="20"/>
                <w:lang w:val="en-US"/>
              </w:rPr>
              <w:t xml:space="preserve">) </w:t>
            </w:r>
            <w:r w:rsidRPr="005F2289">
              <w:rPr>
                <w:rFonts w:cs="Arial"/>
                <w:b/>
                <w:sz w:val="20"/>
                <w:szCs w:val="20"/>
                <w:lang w:val="en-US"/>
              </w:rPr>
              <w:t>/Loans</w:t>
            </w:r>
          </w:p>
        </w:tc>
        <w:tc>
          <w:tcPr>
            <w:tcW w:w="2268" w:type="dxa"/>
            <w:vAlign w:val="bottom"/>
          </w:tcPr>
          <w:p w:rsidR="00BC5FB9" w:rsidRPr="005F2289" w:rsidRDefault="00585F55" w:rsidP="00C16609">
            <w:pPr>
              <w:jc w:val="right"/>
              <w:rPr>
                <w:rFonts w:cs="Arial"/>
                <w:sz w:val="20"/>
                <w:szCs w:val="20"/>
                <w:lang w:val="en-US"/>
              </w:rPr>
            </w:pPr>
            <w:r w:rsidRPr="005F2289">
              <w:rPr>
                <w:rFonts w:cs="Arial"/>
                <w:sz w:val="20"/>
                <w:szCs w:val="20"/>
                <w:lang w:val="en-US"/>
              </w:rPr>
              <w:t>3,8</w:t>
            </w:r>
          </w:p>
        </w:tc>
        <w:tc>
          <w:tcPr>
            <w:tcW w:w="2410" w:type="dxa"/>
            <w:vAlign w:val="bottom"/>
          </w:tcPr>
          <w:p w:rsidR="00BC5FB9" w:rsidRPr="005F2289" w:rsidRDefault="00585F55" w:rsidP="00C16609">
            <w:pPr>
              <w:jc w:val="right"/>
              <w:rPr>
                <w:rFonts w:cs="Arial"/>
                <w:sz w:val="20"/>
                <w:szCs w:val="20"/>
                <w:lang w:val="en-US"/>
              </w:rPr>
            </w:pPr>
            <w:r w:rsidRPr="005F2289">
              <w:rPr>
                <w:rFonts w:cs="Arial"/>
                <w:sz w:val="20"/>
                <w:szCs w:val="20"/>
                <w:lang w:val="en-US"/>
              </w:rPr>
              <w:t>3</w:t>
            </w:r>
          </w:p>
        </w:tc>
      </w:tr>
      <w:tr w:rsidR="005F2289" w:rsidRPr="005F2289" w:rsidTr="002B191A">
        <w:trPr>
          <w:cantSplit/>
        </w:trPr>
        <w:tc>
          <w:tcPr>
            <w:tcW w:w="3531" w:type="dxa"/>
            <w:tcBorders>
              <w:bottom w:val="single" w:sz="4" w:space="0" w:color="auto"/>
            </w:tcBorders>
            <w:vAlign w:val="bottom"/>
          </w:tcPr>
          <w:p w:rsidR="00BC5FB9" w:rsidRPr="005F2289" w:rsidRDefault="002B191A" w:rsidP="00EF02B3">
            <w:pPr>
              <w:rPr>
                <w:rFonts w:cs="Arial"/>
                <w:b/>
                <w:sz w:val="20"/>
                <w:szCs w:val="20"/>
                <w:lang w:val="en-US"/>
              </w:rPr>
            </w:pPr>
            <w:r w:rsidRPr="005F2289">
              <w:rPr>
                <w:rFonts w:cs="Arial"/>
                <w:b/>
                <w:sz w:val="20"/>
                <w:szCs w:val="20"/>
                <w:lang w:val="en-US"/>
              </w:rPr>
              <w:t>ROE</w:t>
            </w:r>
          </w:p>
        </w:tc>
        <w:tc>
          <w:tcPr>
            <w:tcW w:w="2268" w:type="dxa"/>
            <w:tcBorders>
              <w:bottom w:val="single" w:sz="4" w:space="0" w:color="auto"/>
            </w:tcBorders>
            <w:vAlign w:val="bottom"/>
          </w:tcPr>
          <w:p w:rsidR="00BC5FB9" w:rsidRPr="005F2289" w:rsidRDefault="00B66A63" w:rsidP="00C16609">
            <w:pPr>
              <w:jc w:val="right"/>
              <w:rPr>
                <w:rFonts w:cs="Arial"/>
                <w:sz w:val="20"/>
                <w:szCs w:val="20"/>
                <w:lang w:val="en-US"/>
              </w:rPr>
            </w:pPr>
            <w:r w:rsidRPr="005F2289">
              <w:rPr>
                <w:rFonts w:cs="Arial"/>
                <w:sz w:val="20"/>
                <w:szCs w:val="20"/>
                <w:lang w:val="en-US"/>
              </w:rPr>
              <w:t>16,4</w:t>
            </w:r>
          </w:p>
        </w:tc>
        <w:tc>
          <w:tcPr>
            <w:tcW w:w="2410" w:type="dxa"/>
            <w:tcBorders>
              <w:bottom w:val="single" w:sz="4" w:space="0" w:color="auto"/>
            </w:tcBorders>
            <w:vAlign w:val="bottom"/>
          </w:tcPr>
          <w:p w:rsidR="00BC5FB9" w:rsidRPr="005F2289" w:rsidRDefault="00B5380B" w:rsidP="00C16609">
            <w:pPr>
              <w:jc w:val="right"/>
              <w:rPr>
                <w:rFonts w:cs="Arial"/>
                <w:sz w:val="20"/>
                <w:szCs w:val="20"/>
                <w:lang w:val="en-US"/>
              </w:rPr>
            </w:pPr>
            <w:r w:rsidRPr="005F2289">
              <w:rPr>
                <w:rFonts w:cs="Arial"/>
                <w:sz w:val="20"/>
                <w:szCs w:val="20"/>
                <w:lang w:val="en-US"/>
              </w:rPr>
              <w:t>14</w:t>
            </w:r>
            <w:r w:rsidR="00B66A63" w:rsidRPr="005F2289">
              <w:rPr>
                <w:rFonts w:cs="Arial"/>
                <w:sz w:val="20"/>
                <w:szCs w:val="20"/>
                <w:lang w:val="en-US"/>
              </w:rPr>
              <w:t>,5</w:t>
            </w:r>
          </w:p>
        </w:tc>
      </w:tr>
    </w:tbl>
    <w:p w:rsidR="001F7855" w:rsidRPr="005F2289" w:rsidRDefault="001F7855" w:rsidP="001F7855">
      <w:pPr>
        <w:jc w:val="both"/>
        <w:rPr>
          <w:rFonts w:cs="Arial"/>
          <w:sz w:val="16"/>
          <w:szCs w:val="16"/>
          <w:lang w:val="en-US"/>
        </w:rPr>
      </w:pPr>
      <w:r w:rsidRPr="005F2289">
        <w:rPr>
          <w:rFonts w:cs="Arial"/>
          <w:sz w:val="16"/>
          <w:szCs w:val="16"/>
          <w:lang w:val="en-US"/>
        </w:rPr>
        <w:t>Source: Banking Regulatory and Supervisory Agency</w:t>
      </w:r>
    </w:p>
    <w:p w:rsidR="001F7855" w:rsidRPr="005F2289" w:rsidRDefault="001F7855" w:rsidP="001F7855">
      <w:pPr>
        <w:jc w:val="both"/>
        <w:rPr>
          <w:rFonts w:cs="Arial"/>
          <w:sz w:val="18"/>
          <w:szCs w:val="18"/>
          <w:lang w:val="en-US"/>
        </w:rPr>
      </w:pPr>
    </w:p>
    <w:p w:rsidR="002B191A" w:rsidRPr="005F2289" w:rsidRDefault="002B191A" w:rsidP="00AF6818">
      <w:pPr>
        <w:jc w:val="both"/>
        <w:rPr>
          <w:rFonts w:cs="Arial"/>
          <w:b/>
          <w:szCs w:val="22"/>
          <w:lang w:val="en-US"/>
        </w:rPr>
      </w:pPr>
    </w:p>
    <w:p w:rsidR="00DE0A82" w:rsidRPr="005F2289" w:rsidRDefault="00DE0A82" w:rsidP="00DE0A82">
      <w:pPr>
        <w:jc w:val="both"/>
        <w:rPr>
          <w:rFonts w:cs="Arial"/>
          <w:b/>
          <w:szCs w:val="22"/>
          <w:lang w:val="en-US"/>
        </w:rPr>
      </w:pPr>
      <w:r w:rsidRPr="005F2289">
        <w:rPr>
          <w:rFonts w:cs="Arial"/>
          <w:b/>
          <w:szCs w:val="22"/>
          <w:lang w:val="en-US"/>
        </w:rPr>
        <w:t xml:space="preserve">Strong Deposit Base: </w:t>
      </w:r>
      <w:r w:rsidRPr="005F2289">
        <w:rPr>
          <w:rFonts w:cs="Arial"/>
          <w:szCs w:val="22"/>
          <w:lang w:val="en-US"/>
        </w:rPr>
        <w:t xml:space="preserve">Of the deposits, which are the most important resource for the banking sector and constituted 56 percent of the total liabilities, 67 percent were in TL and 33 percent in foreign </w:t>
      </w:r>
      <w:proofErr w:type="gramStart"/>
      <w:r w:rsidRPr="005F2289">
        <w:rPr>
          <w:rFonts w:cs="Arial"/>
          <w:szCs w:val="22"/>
          <w:lang w:val="en-US"/>
        </w:rPr>
        <w:t>currency.</w:t>
      </w:r>
      <w:proofErr w:type="gramEnd"/>
      <w:r w:rsidRPr="005F2289">
        <w:rPr>
          <w:rFonts w:cs="Arial"/>
          <w:szCs w:val="22"/>
          <w:lang w:val="en-US"/>
        </w:rPr>
        <w:t xml:space="preserve"> Savings and commercial deposits were the largest deposit items. Funds borrowed from abroad that reached at 78 billion dollars finance 12 percent of total assets. Borrowing from the central bank has increased.</w:t>
      </w:r>
    </w:p>
    <w:p w:rsidR="00DE0A82" w:rsidRPr="005F2289" w:rsidRDefault="00DE0A82" w:rsidP="00DE0A82">
      <w:pPr>
        <w:jc w:val="both"/>
        <w:rPr>
          <w:rFonts w:cs="Arial"/>
          <w:szCs w:val="22"/>
          <w:lang w:val="en-US"/>
        </w:rPr>
      </w:pPr>
    </w:p>
    <w:p w:rsidR="00DE0A82" w:rsidRPr="005F2289" w:rsidRDefault="00DE0A82" w:rsidP="00DE0A82">
      <w:pPr>
        <w:jc w:val="both"/>
        <w:rPr>
          <w:rFonts w:cs="Arial"/>
          <w:b/>
          <w:szCs w:val="22"/>
          <w:lang w:val="en-US"/>
        </w:rPr>
      </w:pPr>
      <w:r w:rsidRPr="005F2289">
        <w:rPr>
          <w:rFonts w:cs="Arial"/>
          <w:b/>
          <w:szCs w:val="22"/>
          <w:lang w:val="en-US"/>
        </w:rPr>
        <w:t xml:space="preserve">Securities Portfolio: </w:t>
      </w:r>
      <w:r w:rsidRPr="005F2289">
        <w:rPr>
          <w:rFonts w:cs="Arial"/>
          <w:szCs w:val="22"/>
          <w:lang w:val="en-US"/>
        </w:rPr>
        <w:t>Securities portfolio have realized 155 billion dollars by September 2011 and constitute 25 percent of total assets. The majority of these assets belong to public sector debt securities.</w:t>
      </w:r>
    </w:p>
    <w:p w:rsidR="00DE0A82" w:rsidRPr="005F2289" w:rsidRDefault="00DE0A82" w:rsidP="00AF6818">
      <w:pPr>
        <w:jc w:val="both"/>
        <w:rPr>
          <w:rFonts w:cs="Arial"/>
          <w:b/>
          <w:szCs w:val="22"/>
          <w:lang w:val="en-US"/>
        </w:rPr>
      </w:pPr>
    </w:p>
    <w:p w:rsidR="00AF6818" w:rsidRPr="005F2289" w:rsidRDefault="00280843" w:rsidP="00AF6818">
      <w:pPr>
        <w:jc w:val="both"/>
        <w:rPr>
          <w:rFonts w:cs="Arial"/>
          <w:szCs w:val="22"/>
          <w:lang w:val="en-US"/>
        </w:rPr>
      </w:pPr>
      <w:r w:rsidRPr="005F2289">
        <w:rPr>
          <w:rFonts w:cs="Arial"/>
          <w:b/>
          <w:szCs w:val="22"/>
          <w:lang w:val="en-US"/>
        </w:rPr>
        <w:t>FX</w:t>
      </w:r>
      <w:r w:rsidR="00FA63EA" w:rsidRPr="005F2289">
        <w:rPr>
          <w:rFonts w:cs="Arial"/>
          <w:b/>
          <w:szCs w:val="22"/>
          <w:lang w:val="en-US"/>
        </w:rPr>
        <w:t xml:space="preserve"> Position:</w:t>
      </w:r>
      <w:r w:rsidR="00DE0A82" w:rsidRPr="005F2289">
        <w:rPr>
          <w:rFonts w:cs="Arial"/>
          <w:b/>
          <w:szCs w:val="22"/>
          <w:lang w:val="en-US"/>
        </w:rPr>
        <w:t xml:space="preserve"> </w:t>
      </w:r>
      <w:r w:rsidR="00DE0A82" w:rsidRPr="005F2289">
        <w:rPr>
          <w:rFonts w:cs="Arial"/>
          <w:szCs w:val="22"/>
          <w:lang w:val="en-US"/>
        </w:rPr>
        <w:t>29</w:t>
      </w:r>
      <w:r w:rsidR="00AF6818" w:rsidRPr="005F2289">
        <w:rPr>
          <w:rFonts w:cs="Arial"/>
          <w:szCs w:val="22"/>
          <w:lang w:val="en-US"/>
        </w:rPr>
        <w:t xml:space="preserve"> pe</w:t>
      </w:r>
      <w:r w:rsidR="00DE0A82" w:rsidRPr="005F2289">
        <w:rPr>
          <w:rFonts w:cs="Arial"/>
          <w:szCs w:val="22"/>
          <w:lang w:val="en-US"/>
        </w:rPr>
        <w:t>rcent of the total assets and 35</w:t>
      </w:r>
      <w:r w:rsidR="00AF6818" w:rsidRPr="005F2289">
        <w:rPr>
          <w:rFonts w:cs="Arial"/>
          <w:szCs w:val="22"/>
          <w:lang w:val="en-US"/>
        </w:rPr>
        <w:t xml:space="preserve"> percent of the total liabilities were in foreign currency. The </w:t>
      </w:r>
      <w:r w:rsidR="00FA63EA" w:rsidRPr="005F2289">
        <w:rPr>
          <w:rFonts w:cs="Arial"/>
          <w:szCs w:val="22"/>
          <w:lang w:val="en-US"/>
        </w:rPr>
        <w:t>FX</w:t>
      </w:r>
      <w:r w:rsidR="00AF6818" w:rsidRPr="005F2289">
        <w:rPr>
          <w:rFonts w:cs="Arial"/>
          <w:szCs w:val="22"/>
          <w:lang w:val="en-US"/>
        </w:rPr>
        <w:t xml:space="preserve"> position within the bal</w:t>
      </w:r>
      <w:r w:rsidR="00DE0A82" w:rsidRPr="005F2289">
        <w:rPr>
          <w:rFonts w:cs="Arial"/>
          <w:szCs w:val="22"/>
          <w:lang w:val="en-US"/>
        </w:rPr>
        <w:t>ance-sheet was USD 32.3</w:t>
      </w:r>
      <w:r w:rsidR="00FA63EA" w:rsidRPr="005F2289">
        <w:rPr>
          <w:rFonts w:cs="Arial"/>
          <w:szCs w:val="22"/>
          <w:lang w:val="en-US"/>
        </w:rPr>
        <w:t xml:space="preserve"> billion whereas t</w:t>
      </w:r>
      <w:r w:rsidR="00AF6818" w:rsidRPr="005F2289">
        <w:rPr>
          <w:rFonts w:cs="Arial"/>
          <w:szCs w:val="22"/>
          <w:lang w:val="en-US"/>
        </w:rPr>
        <w:t>he foreign currency net overall position, which included off-bal</w:t>
      </w:r>
      <w:r w:rsidR="00FA63EA" w:rsidRPr="005F2289">
        <w:rPr>
          <w:rFonts w:cs="Arial"/>
          <w:szCs w:val="22"/>
          <w:lang w:val="en-US"/>
        </w:rPr>
        <w:t>ance-sheet operations, amounted to</w:t>
      </w:r>
      <w:r w:rsidR="00AF6818" w:rsidRPr="005F2289">
        <w:rPr>
          <w:rFonts w:cs="Arial"/>
          <w:szCs w:val="22"/>
          <w:lang w:val="en-US"/>
        </w:rPr>
        <w:t xml:space="preserve"> deficit of USD </w:t>
      </w:r>
      <w:r w:rsidR="00DE0A82" w:rsidRPr="005F2289">
        <w:rPr>
          <w:rFonts w:cs="Arial"/>
          <w:szCs w:val="22"/>
          <w:lang w:val="en-US"/>
        </w:rPr>
        <w:t>523</w:t>
      </w:r>
      <w:r w:rsidR="00AF6818" w:rsidRPr="005F2289">
        <w:rPr>
          <w:rFonts w:cs="Arial"/>
          <w:szCs w:val="22"/>
          <w:lang w:val="en-US"/>
        </w:rPr>
        <w:t xml:space="preserve"> million.</w:t>
      </w:r>
    </w:p>
    <w:p w:rsidR="00EF02B3" w:rsidRPr="005F2289" w:rsidRDefault="00EF02B3" w:rsidP="00AF6818">
      <w:pPr>
        <w:jc w:val="both"/>
        <w:rPr>
          <w:rFonts w:cs="Arial"/>
          <w:szCs w:val="22"/>
          <w:lang w:val="en-US"/>
        </w:rPr>
      </w:pPr>
    </w:p>
    <w:p w:rsidR="00FA63EA" w:rsidRPr="005F2289" w:rsidRDefault="00E73CF8" w:rsidP="004A085C">
      <w:pPr>
        <w:pStyle w:val="FootnoteText"/>
        <w:jc w:val="both"/>
        <w:rPr>
          <w:rFonts w:ascii="Arial" w:hAnsi="Arial" w:cs="Arial"/>
          <w:sz w:val="22"/>
          <w:szCs w:val="22"/>
          <w:lang w:val="en-US"/>
        </w:rPr>
      </w:pPr>
      <w:r w:rsidRPr="005F2289">
        <w:rPr>
          <w:rFonts w:ascii="Arial" w:hAnsi="Arial" w:cs="Arial"/>
          <w:b/>
          <w:sz w:val="22"/>
          <w:szCs w:val="22"/>
          <w:lang w:val="en-US"/>
        </w:rPr>
        <w:t xml:space="preserve">Profits: </w:t>
      </w:r>
      <w:r w:rsidRPr="005F2289">
        <w:rPr>
          <w:rFonts w:ascii="Arial" w:hAnsi="Arial" w:cs="Arial"/>
          <w:sz w:val="22"/>
          <w:szCs w:val="22"/>
          <w:lang w:val="en-US"/>
        </w:rPr>
        <w:t xml:space="preserve">The total profit volume of the deposit banks and the development and </w:t>
      </w:r>
      <w:r w:rsidR="00DE0A82" w:rsidRPr="005F2289">
        <w:rPr>
          <w:rFonts w:ascii="Arial" w:hAnsi="Arial" w:cs="Arial"/>
          <w:sz w:val="22"/>
          <w:szCs w:val="22"/>
          <w:lang w:val="en-US"/>
        </w:rPr>
        <w:t>investment banks decreased by 14</w:t>
      </w:r>
      <w:r w:rsidRPr="005F2289">
        <w:rPr>
          <w:rFonts w:ascii="Arial" w:hAnsi="Arial" w:cs="Arial"/>
          <w:sz w:val="22"/>
          <w:szCs w:val="22"/>
          <w:lang w:val="en-US"/>
        </w:rPr>
        <w:t xml:space="preserve"> percent by </w:t>
      </w:r>
      <w:r w:rsidR="00DE0A82" w:rsidRPr="005F2289">
        <w:rPr>
          <w:rFonts w:ascii="Arial" w:hAnsi="Arial" w:cs="Arial"/>
          <w:sz w:val="22"/>
          <w:szCs w:val="22"/>
          <w:lang w:val="en-US"/>
        </w:rPr>
        <w:t>September</w:t>
      </w:r>
      <w:r w:rsidRPr="005F2289">
        <w:rPr>
          <w:rFonts w:ascii="Arial" w:hAnsi="Arial" w:cs="Arial"/>
          <w:sz w:val="22"/>
          <w:szCs w:val="22"/>
          <w:lang w:val="en-US"/>
        </w:rPr>
        <w:t xml:space="preserve"> 2011 compared to the same period of the last year and declined to TL </w:t>
      </w:r>
      <w:r w:rsidR="00DE0A82" w:rsidRPr="005F2289">
        <w:rPr>
          <w:rFonts w:ascii="Arial" w:hAnsi="Arial" w:cs="Arial"/>
          <w:sz w:val="22"/>
          <w:szCs w:val="22"/>
          <w:lang w:val="en-US"/>
        </w:rPr>
        <w:t>14</w:t>
      </w:r>
      <w:r w:rsidRPr="005F2289">
        <w:rPr>
          <w:rFonts w:ascii="Arial" w:hAnsi="Arial" w:cs="Arial"/>
          <w:sz w:val="22"/>
          <w:szCs w:val="22"/>
          <w:lang w:val="en-US"/>
        </w:rPr>
        <w:t xml:space="preserve"> billion (USD </w:t>
      </w:r>
      <w:r w:rsidR="00DE0A82" w:rsidRPr="005F2289">
        <w:rPr>
          <w:rFonts w:ascii="Arial" w:hAnsi="Arial" w:cs="Arial"/>
          <w:sz w:val="22"/>
          <w:szCs w:val="22"/>
          <w:lang w:val="en-US"/>
        </w:rPr>
        <w:t>7.6</w:t>
      </w:r>
      <w:r w:rsidRPr="005F2289">
        <w:rPr>
          <w:rFonts w:ascii="Arial" w:hAnsi="Arial" w:cs="Arial"/>
          <w:sz w:val="22"/>
          <w:szCs w:val="22"/>
          <w:lang w:val="en-US"/>
        </w:rPr>
        <w:t xml:space="preserve"> billion).</w:t>
      </w:r>
    </w:p>
    <w:p w:rsidR="00715CC0" w:rsidRPr="005F2289" w:rsidRDefault="00715CC0" w:rsidP="00095123">
      <w:pPr>
        <w:jc w:val="both"/>
        <w:rPr>
          <w:rFonts w:cs="Arial"/>
          <w:b/>
          <w:szCs w:val="22"/>
          <w:lang w:val="en-US"/>
        </w:rPr>
      </w:pPr>
    </w:p>
    <w:p w:rsidR="00095123" w:rsidRPr="005F2289" w:rsidRDefault="00095123" w:rsidP="00095123">
      <w:pPr>
        <w:jc w:val="both"/>
        <w:rPr>
          <w:rFonts w:cs="Arial"/>
          <w:b/>
          <w:szCs w:val="22"/>
          <w:lang w:val="en-US"/>
        </w:rPr>
      </w:pPr>
      <w:r w:rsidRPr="005F2289">
        <w:rPr>
          <w:rFonts w:cs="Arial"/>
          <w:b/>
          <w:szCs w:val="22"/>
          <w:lang w:val="en-US"/>
        </w:rPr>
        <w:t xml:space="preserve">General Information on the Banking System </w:t>
      </w:r>
      <w:proofErr w:type="gramStart"/>
      <w:r w:rsidRPr="005F2289">
        <w:rPr>
          <w:rFonts w:cs="Arial"/>
          <w:b/>
          <w:szCs w:val="22"/>
          <w:lang w:val="en-US"/>
        </w:rPr>
        <w:t>In</w:t>
      </w:r>
      <w:proofErr w:type="gramEnd"/>
      <w:r w:rsidRPr="005F2289">
        <w:rPr>
          <w:rFonts w:cs="Arial"/>
          <w:b/>
          <w:szCs w:val="22"/>
          <w:lang w:val="en-US"/>
        </w:rPr>
        <w:t xml:space="preserve"> Turkey</w:t>
      </w:r>
    </w:p>
    <w:p w:rsidR="00095123" w:rsidRPr="005F2289" w:rsidRDefault="00095123" w:rsidP="00095123">
      <w:pPr>
        <w:jc w:val="both"/>
        <w:rPr>
          <w:rFonts w:cs="Arial"/>
          <w:sz w:val="20"/>
          <w:lang w:val="en-US"/>
        </w:rPr>
      </w:pPr>
    </w:p>
    <w:p w:rsidR="00095123" w:rsidRPr="005F2289" w:rsidRDefault="00D81314" w:rsidP="00095123">
      <w:pPr>
        <w:jc w:val="both"/>
        <w:rPr>
          <w:rFonts w:cs="Arial"/>
          <w:szCs w:val="22"/>
          <w:lang w:val="en-US"/>
        </w:rPr>
      </w:pPr>
      <w:r w:rsidRPr="005F2289">
        <w:rPr>
          <w:rFonts w:cs="Arial"/>
          <w:szCs w:val="22"/>
          <w:lang w:val="en-US"/>
        </w:rPr>
        <w:t xml:space="preserve">As of </w:t>
      </w:r>
      <w:r w:rsidR="00521309" w:rsidRPr="005F2289">
        <w:rPr>
          <w:rFonts w:cs="Arial"/>
          <w:szCs w:val="22"/>
          <w:lang w:val="en-US"/>
        </w:rPr>
        <w:t>September</w:t>
      </w:r>
      <w:r w:rsidRPr="005F2289">
        <w:rPr>
          <w:rFonts w:cs="Arial"/>
          <w:szCs w:val="22"/>
          <w:lang w:val="en-US"/>
        </w:rPr>
        <w:t xml:space="preserve"> 2011 there are 48</w:t>
      </w:r>
      <w:r w:rsidR="00095123" w:rsidRPr="005F2289">
        <w:rPr>
          <w:rFonts w:cs="Arial"/>
          <w:szCs w:val="22"/>
          <w:lang w:val="en-US"/>
        </w:rPr>
        <w:t xml:space="preserve"> banks operating in the banking sector in Turkey.Of which 31 are deposit banks, 13 are development and investment banks and 4 are participation banks. The deposit banks do not have participation accounts and the participation banks are not licensed to accept deposits. The development and investment banks are not allowed to issue deposit and participation certificates.</w:t>
      </w:r>
    </w:p>
    <w:p w:rsidR="00095123" w:rsidRPr="005F2289" w:rsidRDefault="00095123" w:rsidP="00095123">
      <w:pPr>
        <w:jc w:val="both"/>
        <w:rPr>
          <w:rFonts w:cs="Arial"/>
          <w:szCs w:val="22"/>
          <w:lang w:val="en-US"/>
        </w:rPr>
      </w:pPr>
    </w:p>
    <w:p w:rsidR="00AF6818" w:rsidRPr="005F2289" w:rsidRDefault="00AF6818" w:rsidP="00AF6818">
      <w:pPr>
        <w:jc w:val="both"/>
        <w:rPr>
          <w:rFonts w:cs="Arial"/>
          <w:szCs w:val="22"/>
          <w:lang w:val="en-US"/>
        </w:rPr>
      </w:pPr>
      <w:r w:rsidRPr="005F2289">
        <w:rPr>
          <w:rFonts w:cs="Arial"/>
          <w:szCs w:val="22"/>
          <w:lang w:val="en-US"/>
        </w:rPr>
        <w:t>There are 23 deposit, development and investment banks of which majority of shares, excluding public shares, are held by residents abroad or have entered into strategic partnership agreements with residents abroad. The controlling shareholders in those banks are resident in the USA (3), France (3), the Netherlands (2), Belgium (1), Germany (2), Greece</w:t>
      </w:r>
      <w:r w:rsidR="00D81314" w:rsidRPr="005F2289">
        <w:rPr>
          <w:rFonts w:cs="Arial"/>
          <w:szCs w:val="22"/>
          <w:lang w:val="en-US"/>
        </w:rPr>
        <w:t xml:space="preserve"> (2)</w:t>
      </w:r>
      <w:r w:rsidRPr="005F2289">
        <w:rPr>
          <w:rFonts w:cs="Arial"/>
          <w:szCs w:val="22"/>
          <w:lang w:val="en-US"/>
        </w:rPr>
        <w:t>, Portugal, Luxembourg, Iran, Pakistan, Israel, Bahrain, the United Kingdom, Saudi Arabia, Italy, Kazakhstan and Libya.</w:t>
      </w:r>
    </w:p>
    <w:p w:rsidR="00556FA4" w:rsidRPr="005F2289" w:rsidRDefault="00556FA4" w:rsidP="00556FA4">
      <w:pPr>
        <w:rPr>
          <w:rFonts w:cs="Arial"/>
          <w:szCs w:val="22"/>
          <w:lang w:val="en-US"/>
        </w:rPr>
      </w:pPr>
    </w:p>
    <w:p w:rsidR="00556FA4" w:rsidRPr="005F2289" w:rsidRDefault="00556FA4" w:rsidP="00556FA4">
      <w:pPr>
        <w:rPr>
          <w:rFonts w:cs="Arial"/>
          <w:szCs w:val="22"/>
          <w:lang w:val="en-US"/>
        </w:rPr>
      </w:pPr>
      <w:r w:rsidRPr="005F2289">
        <w:rPr>
          <w:rFonts w:cs="Arial"/>
          <w:szCs w:val="22"/>
          <w:lang w:val="en-US"/>
        </w:rPr>
        <w:t>For further information: The Banks Association of Turkey</w:t>
      </w:r>
      <w:proofErr w:type="gramStart"/>
      <w:r w:rsidRPr="005F2289">
        <w:rPr>
          <w:rFonts w:cs="Arial"/>
          <w:sz w:val="16"/>
          <w:szCs w:val="16"/>
          <w:lang w:val="en-US"/>
        </w:rPr>
        <w:t>,</w:t>
      </w:r>
      <w:proofErr w:type="gramEnd"/>
      <w:hyperlink r:id="rId8" w:history="1">
        <w:r w:rsidRPr="005F2289">
          <w:rPr>
            <w:rStyle w:val="Hyperlink"/>
            <w:rFonts w:cs="Arial"/>
            <w:color w:val="auto"/>
            <w:szCs w:val="22"/>
            <w:lang w:val="en-US"/>
          </w:rPr>
          <w:t>www.tbb.org.tr</w:t>
        </w:r>
      </w:hyperlink>
    </w:p>
    <w:p w:rsidR="00AF6818" w:rsidRPr="005F2289" w:rsidRDefault="00556FA4" w:rsidP="00095123">
      <w:pPr>
        <w:jc w:val="both"/>
        <w:rPr>
          <w:rFonts w:cs="Arial"/>
          <w:szCs w:val="22"/>
          <w:lang w:val="en-US"/>
        </w:rPr>
      </w:pPr>
      <w:r w:rsidRPr="005F2289">
        <w:rPr>
          <w:rFonts w:cs="Arial"/>
          <w:szCs w:val="22"/>
          <w:lang w:val="en-US"/>
        </w:rPr>
        <w:t>Information for Participation banks: The Participation Banks Association of Turkey (</w:t>
      </w:r>
      <w:hyperlink r:id="rId9" w:history="1">
        <w:r w:rsidRPr="005F2289">
          <w:rPr>
            <w:rStyle w:val="Hyperlink"/>
            <w:rFonts w:cs="Arial"/>
            <w:color w:val="auto"/>
            <w:szCs w:val="22"/>
            <w:lang w:val="en-US"/>
          </w:rPr>
          <w:t>www.tkbb.org.tr</w:t>
        </w:r>
      </w:hyperlink>
      <w:r w:rsidRPr="005F2289">
        <w:rPr>
          <w:rFonts w:cs="Arial"/>
          <w:szCs w:val="22"/>
          <w:lang w:val="en-US"/>
        </w:rPr>
        <w:t>).</w:t>
      </w:r>
    </w:p>
    <w:sectPr w:rsidR="00AF6818" w:rsidRPr="005F2289" w:rsidSect="00EF02B3">
      <w:footerReference w:type="even" r:id="rId10"/>
      <w:footerReference w:type="default" r:id="rId11"/>
      <w:headerReference w:type="first" r:id="rId12"/>
      <w:pgSz w:w="11909" w:h="16834" w:code="9"/>
      <w:pgMar w:top="2098" w:right="2268" w:bottom="1440" w:left="1814" w:header="1151" w:footer="431"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E13" w:rsidRDefault="00045E13" w:rsidP="00095123">
      <w:r>
        <w:separator/>
      </w:r>
    </w:p>
  </w:endnote>
  <w:endnote w:type="continuationSeparator" w:id="0">
    <w:p w:rsidR="00045E13" w:rsidRDefault="00045E13" w:rsidP="00095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80000000" w:usb2="00000008" w:usb3="00000000" w:csb0="000001FF" w:csb1="00000000"/>
  </w:font>
  <w:font w:name="Arial">
    <w:panose1 w:val="020B0604020202020204"/>
    <w:charset w:val="A2"/>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364" w:rsidRDefault="00080B86" w:rsidP="00EF02B3">
    <w:pPr>
      <w:pStyle w:val="Footer"/>
      <w:framePr w:wrap="around" w:vAnchor="text" w:hAnchor="margin" w:xAlign="right" w:y="1"/>
      <w:rPr>
        <w:rStyle w:val="PageNumber"/>
      </w:rPr>
    </w:pPr>
    <w:r>
      <w:rPr>
        <w:rStyle w:val="PageNumber"/>
      </w:rPr>
      <w:fldChar w:fldCharType="begin"/>
    </w:r>
    <w:r w:rsidR="00E26364">
      <w:rPr>
        <w:rStyle w:val="PageNumber"/>
      </w:rPr>
      <w:instrText xml:space="preserve">PAGE  </w:instrText>
    </w:r>
    <w:r>
      <w:rPr>
        <w:rStyle w:val="PageNumber"/>
      </w:rPr>
      <w:fldChar w:fldCharType="end"/>
    </w:r>
  </w:p>
  <w:p w:rsidR="00E26364" w:rsidRDefault="00E26364" w:rsidP="00EF02B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364" w:rsidRDefault="00080B86" w:rsidP="00EF02B3">
    <w:pPr>
      <w:pStyle w:val="Footer"/>
      <w:framePr w:wrap="around" w:vAnchor="text" w:hAnchor="margin" w:xAlign="right" w:y="1"/>
      <w:rPr>
        <w:rStyle w:val="PageNumber"/>
      </w:rPr>
    </w:pPr>
    <w:r>
      <w:rPr>
        <w:rStyle w:val="PageNumber"/>
      </w:rPr>
      <w:fldChar w:fldCharType="begin"/>
    </w:r>
    <w:r w:rsidR="00E26364">
      <w:rPr>
        <w:rStyle w:val="PageNumber"/>
      </w:rPr>
      <w:instrText xml:space="preserve">PAGE  </w:instrText>
    </w:r>
    <w:r>
      <w:rPr>
        <w:rStyle w:val="PageNumber"/>
      </w:rPr>
      <w:fldChar w:fldCharType="separate"/>
    </w:r>
    <w:r w:rsidR="005F2289">
      <w:rPr>
        <w:rStyle w:val="PageNumber"/>
        <w:noProof/>
      </w:rPr>
      <w:t>3</w:t>
    </w:r>
    <w:r>
      <w:rPr>
        <w:rStyle w:val="PageNumber"/>
      </w:rPr>
      <w:fldChar w:fldCharType="end"/>
    </w:r>
  </w:p>
  <w:p w:rsidR="00E26364" w:rsidRDefault="00E26364" w:rsidP="00EF02B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E13" w:rsidRDefault="00045E13" w:rsidP="00095123">
      <w:r>
        <w:separator/>
      </w:r>
    </w:p>
  </w:footnote>
  <w:footnote w:type="continuationSeparator" w:id="0">
    <w:p w:rsidR="00045E13" w:rsidRDefault="00045E13" w:rsidP="00095123">
      <w:r>
        <w:continuationSeparator/>
      </w:r>
    </w:p>
  </w:footnote>
  <w:footnote w:id="1">
    <w:p w:rsidR="00E26364" w:rsidRPr="00B309FE" w:rsidRDefault="00E26364" w:rsidP="00111A7C">
      <w:pPr>
        <w:pStyle w:val="FootnoteText"/>
        <w:rPr>
          <w:rFonts w:ascii="Arial" w:hAnsi="Arial" w:cs="Arial"/>
          <w:sz w:val="18"/>
          <w:szCs w:val="18"/>
          <w:lang w:val="en-US"/>
        </w:rPr>
      </w:pPr>
      <w:r>
        <w:rPr>
          <w:rStyle w:val="FootnoteReference"/>
        </w:rPr>
        <w:footnoteRef/>
      </w:r>
      <w:r>
        <w:rPr>
          <w:rFonts w:ascii="Arial" w:hAnsi="Arial" w:cs="Arial"/>
          <w:sz w:val="18"/>
          <w:szCs w:val="18"/>
          <w:lang w:val="en-US"/>
        </w:rPr>
        <w:t>Only</w:t>
      </w:r>
      <w:r w:rsidRPr="00B309FE">
        <w:rPr>
          <w:rFonts w:ascii="Arial" w:hAnsi="Arial" w:cs="Arial"/>
          <w:sz w:val="18"/>
          <w:szCs w:val="18"/>
          <w:lang w:val="en-US"/>
        </w:rPr>
        <w:t xml:space="preserve"> deposit banks and, development and investment banks</w:t>
      </w:r>
      <w:r>
        <w:rPr>
          <w:rFonts w:ascii="Arial" w:hAnsi="Arial" w:cs="Arial"/>
          <w:sz w:val="18"/>
          <w:szCs w:val="18"/>
          <w:lang w:val="en-US"/>
        </w:rPr>
        <w:t xml:space="preserve"> are included.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364" w:rsidRDefault="00E26364">
    <w:pPr>
      <w:pStyle w:val="Header"/>
    </w:pPr>
    <w:r>
      <w:rPr>
        <w:noProof/>
        <w:lang w:eastAsia="tr-TR"/>
      </w:rPr>
      <w:drawing>
        <wp:anchor distT="0" distB="0" distL="114300" distR="114300" simplePos="0" relativeHeight="251659264" behindDoc="0" locked="0" layoutInCell="1" allowOverlap="1">
          <wp:simplePos x="0" y="0"/>
          <wp:positionH relativeFrom="page">
            <wp:posOffset>6364605</wp:posOffset>
          </wp:positionH>
          <wp:positionV relativeFrom="page">
            <wp:posOffset>302260</wp:posOffset>
          </wp:positionV>
          <wp:extent cx="913130" cy="929005"/>
          <wp:effectExtent l="0" t="0" r="1270" b="4445"/>
          <wp:wrapSquare wrapText="bothSides"/>
          <wp:docPr id="2" name="Picture 1"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95123"/>
    <w:rsid w:val="00045E13"/>
    <w:rsid w:val="00071E76"/>
    <w:rsid w:val="000753BE"/>
    <w:rsid w:val="00080B86"/>
    <w:rsid w:val="00095123"/>
    <w:rsid w:val="000B7BCF"/>
    <w:rsid w:val="000C7168"/>
    <w:rsid w:val="0010435A"/>
    <w:rsid w:val="00111A7C"/>
    <w:rsid w:val="0016118B"/>
    <w:rsid w:val="00192CC2"/>
    <w:rsid w:val="00194709"/>
    <w:rsid w:val="001964EA"/>
    <w:rsid w:val="001E7F7B"/>
    <w:rsid w:val="001F6A21"/>
    <w:rsid w:val="001F7855"/>
    <w:rsid w:val="00280843"/>
    <w:rsid w:val="00285010"/>
    <w:rsid w:val="002B191A"/>
    <w:rsid w:val="002C17A3"/>
    <w:rsid w:val="002C221A"/>
    <w:rsid w:val="002D2301"/>
    <w:rsid w:val="0030136D"/>
    <w:rsid w:val="003377DD"/>
    <w:rsid w:val="003639AB"/>
    <w:rsid w:val="00375792"/>
    <w:rsid w:val="00381197"/>
    <w:rsid w:val="003955F6"/>
    <w:rsid w:val="003A2FA1"/>
    <w:rsid w:val="003C46EC"/>
    <w:rsid w:val="003E290C"/>
    <w:rsid w:val="00400231"/>
    <w:rsid w:val="004140B6"/>
    <w:rsid w:val="004156BE"/>
    <w:rsid w:val="00427FD0"/>
    <w:rsid w:val="0044187E"/>
    <w:rsid w:val="00457202"/>
    <w:rsid w:val="00457B6A"/>
    <w:rsid w:val="004A085C"/>
    <w:rsid w:val="004B086D"/>
    <w:rsid w:val="004D05CD"/>
    <w:rsid w:val="004E62B7"/>
    <w:rsid w:val="00501ACD"/>
    <w:rsid w:val="0051001A"/>
    <w:rsid w:val="00521309"/>
    <w:rsid w:val="005462EB"/>
    <w:rsid w:val="00552D40"/>
    <w:rsid w:val="00556FA4"/>
    <w:rsid w:val="005574AD"/>
    <w:rsid w:val="00561871"/>
    <w:rsid w:val="00576ED6"/>
    <w:rsid w:val="00585F55"/>
    <w:rsid w:val="0058650D"/>
    <w:rsid w:val="005A512C"/>
    <w:rsid w:val="005A7C16"/>
    <w:rsid w:val="005C2894"/>
    <w:rsid w:val="005F2289"/>
    <w:rsid w:val="0061291A"/>
    <w:rsid w:val="00670DE6"/>
    <w:rsid w:val="00676D51"/>
    <w:rsid w:val="00683217"/>
    <w:rsid w:val="006A1FBB"/>
    <w:rsid w:val="006D72E8"/>
    <w:rsid w:val="0070656D"/>
    <w:rsid w:val="00715CC0"/>
    <w:rsid w:val="00730B3A"/>
    <w:rsid w:val="00771D82"/>
    <w:rsid w:val="00785601"/>
    <w:rsid w:val="00790D23"/>
    <w:rsid w:val="007A2A8C"/>
    <w:rsid w:val="007E60BB"/>
    <w:rsid w:val="00803299"/>
    <w:rsid w:val="008064E9"/>
    <w:rsid w:val="00820476"/>
    <w:rsid w:val="008570A7"/>
    <w:rsid w:val="00867AD4"/>
    <w:rsid w:val="008926BC"/>
    <w:rsid w:val="008A74B3"/>
    <w:rsid w:val="008B540C"/>
    <w:rsid w:val="008D576D"/>
    <w:rsid w:val="008D5AB4"/>
    <w:rsid w:val="0090193B"/>
    <w:rsid w:val="0091066E"/>
    <w:rsid w:val="00913B79"/>
    <w:rsid w:val="00936713"/>
    <w:rsid w:val="00976153"/>
    <w:rsid w:val="00981947"/>
    <w:rsid w:val="009B0701"/>
    <w:rsid w:val="009D6637"/>
    <w:rsid w:val="00A3351E"/>
    <w:rsid w:val="00A4167B"/>
    <w:rsid w:val="00A62BA8"/>
    <w:rsid w:val="00A74311"/>
    <w:rsid w:val="00AB77FC"/>
    <w:rsid w:val="00AC2AE4"/>
    <w:rsid w:val="00AD1BC1"/>
    <w:rsid w:val="00AD5D40"/>
    <w:rsid w:val="00AF6818"/>
    <w:rsid w:val="00AF6A62"/>
    <w:rsid w:val="00B10DBF"/>
    <w:rsid w:val="00B437C4"/>
    <w:rsid w:val="00B5380B"/>
    <w:rsid w:val="00B6468E"/>
    <w:rsid w:val="00B66A63"/>
    <w:rsid w:val="00BC5FB9"/>
    <w:rsid w:val="00BE1B4E"/>
    <w:rsid w:val="00C0507D"/>
    <w:rsid w:val="00C16609"/>
    <w:rsid w:val="00C47966"/>
    <w:rsid w:val="00C51054"/>
    <w:rsid w:val="00C61F7D"/>
    <w:rsid w:val="00C6255F"/>
    <w:rsid w:val="00C631A8"/>
    <w:rsid w:val="00C82DEB"/>
    <w:rsid w:val="00C84B7C"/>
    <w:rsid w:val="00CA5712"/>
    <w:rsid w:val="00CF6BE7"/>
    <w:rsid w:val="00D467CE"/>
    <w:rsid w:val="00D64121"/>
    <w:rsid w:val="00D74839"/>
    <w:rsid w:val="00D81314"/>
    <w:rsid w:val="00D95F6B"/>
    <w:rsid w:val="00DA019A"/>
    <w:rsid w:val="00DE0A82"/>
    <w:rsid w:val="00DF49D9"/>
    <w:rsid w:val="00E26364"/>
    <w:rsid w:val="00E73CF8"/>
    <w:rsid w:val="00EB38A1"/>
    <w:rsid w:val="00EB4483"/>
    <w:rsid w:val="00EC3F65"/>
    <w:rsid w:val="00EF02B3"/>
    <w:rsid w:val="00F04380"/>
    <w:rsid w:val="00F24747"/>
    <w:rsid w:val="00F27E60"/>
    <w:rsid w:val="00F33ADF"/>
    <w:rsid w:val="00F75A4B"/>
    <w:rsid w:val="00FA63EA"/>
    <w:rsid w:val="00FA6F26"/>
    <w:rsid w:val="00FB0D2A"/>
    <w:rsid w:val="00FB2F89"/>
    <w:rsid w:val="00FB4454"/>
    <w:rsid w:val="00FC1171"/>
    <w:rsid w:val="00FD7FDA"/>
    <w:rsid w:val="00FF42D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5123"/>
    <w:rPr>
      <w:rFonts w:ascii="Arial" w:hAnsi="Arial"/>
      <w:sz w:val="22"/>
      <w:szCs w:val="24"/>
      <w:lang w:eastAsia="en-US"/>
    </w:rPr>
  </w:style>
  <w:style w:type="paragraph" w:styleId="Heading6">
    <w:name w:val="heading 6"/>
    <w:basedOn w:val="Normal"/>
    <w:next w:val="Normal"/>
    <w:link w:val="Heading6Char"/>
    <w:qFormat/>
    <w:rsid w:val="00095123"/>
    <w:pPr>
      <w:spacing w:before="240" w:after="60"/>
      <w:outlineLvl w:val="5"/>
    </w:pPr>
    <w:rPr>
      <w:rFonts w:ascii="Times New Roman" w:hAnsi="Times New Roman"/>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basedOn w:val="DefaultParagraphFont"/>
    <w:rsid w:val="00080B86"/>
    <w:rPr>
      <w:rFonts w:ascii="Arial" w:hAnsi="Arial" w:cs="Arial"/>
      <w:color w:val="auto"/>
      <w:sz w:val="20"/>
    </w:rPr>
  </w:style>
  <w:style w:type="character" w:customStyle="1" w:styleId="PersonalReplyStyle">
    <w:name w:val="Personal Reply Style"/>
    <w:basedOn w:val="DefaultParagraphFont"/>
    <w:rsid w:val="00080B86"/>
    <w:rPr>
      <w:rFonts w:ascii="Arial" w:hAnsi="Arial" w:cs="Arial"/>
      <w:color w:val="auto"/>
      <w:sz w:val="20"/>
    </w:rPr>
  </w:style>
  <w:style w:type="character" w:customStyle="1" w:styleId="Heading6Char">
    <w:name w:val="Heading 6 Char"/>
    <w:basedOn w:val="DefaultParagraphFont"/>
    <w:link w:val="Heading6"/>
    <w:rsid w:val="00095123"/>
    <w:rPr>
      <w:b/>
      <w:bCs/>
      <w:sz w:val="22"/>
      <w:szCs w:val="22"/>
      <w:lang w:eastAsia="en-US"/>
    </w:rPr>
  </w:style>
  <w:style w:type="paragraph" w:styleId="BodyText3">
    <w:name w:val="Body Text 3"/>
    <w:basedOn w:val="Normal"/>
    <w:link w:val="BodyText3Char"/>
    <w:rsid w:val="00095123"/>
    <w:pPr>
      <w:ind w:right="29"/>
      <w:jc w:val="both"/>
    </w:pPr>
    <w:rPr>
      <w:rFonts w:ascii="Times New Roman" w:hAnsi="Times New Roman"/>
      <w:sz w:val="24"/>
      <w:szCs w:val="20"/>
      <w:lang w:val="en-AU"/>
    </w:rPr>
  </w:style>
  <w:style w:type="character" w:customStyle="1" w:styleId="BodyText3Char">
    <w:name w:val="Body Text 3 Char"/>
    <w:basedOn w:val="DefaultParagraphFont"/>
    <w:link w:val="BodyText3"/>
    <w:rsid w:val="00095123"/>
    <w:rPr>
      <w:sz w:val="24"/>
      <w:lang w:val="en-AU" w:eastAsia="en-US"/>
    </w:rPr>
  </w:style>
  <w:style w:type="paragraph" w:styleId="FootnoteText">
    <w:name w:val="footnote text"/>
    <w:basedOn w:val="Normal"/>
    <w:link w:val="FootnoteTextChar"/>
    <w:rsid w:val="00095123"/>
    <w:rPr>
      <w:rFonts w:ascii="Times New Roman" w:hAnsi="Times New Roman"/>
      <w:sz w:val="20"/>
      <w:szCs w:val="20"/>
    </w:rPr>
  </w:style>
  <w:style w:type="character" w:customStyle="1" w:styleId="FootnoteTextChar">
    <w:name w:val="Footnote Text Char"/>
    <w:basedOn w:val="DefaultParagraphFont"/>
    <w:link w:val="FootnoteText"/>
    <w:rsid w:val="00095123"/>
    <w:rPr>
      <w:lang w:eastAsia="en-US"/>
    </w:rPr>
  </w:style>
  <w:style w:type="character" w:styleId="Hyperlink">
    <w:name w:val="Hyperlink"/>
    <w:rsid w:val="00095123"/>
    <w:rPr>
      <w:color w:val="0000FF"/>
      <w:u w:val="single"/>
    </w:rPr>
  </w:style>
  <w:style w:type="character" w:styleId="FootnoteReference">
    <w:name w:val="footnote reference"/>
    <w:rsid w:val="00095123"/>
    <w:rPr>
      <w:vertAlign w:val="superscript"/>
    </w:rPr>
  </w:style>
  <w:style w:type="paragraph" w:styleId="Header">
    <w:name w:val="header"/>
    <w:basedOn w:val="Normal"/>
    <w:link w:val="HeaderChar"/>
    <w:rsid w:val="00095123"/>
    <w:pPr>
      <w:tabs>
        <w:tab w:val="center" w:pos="4536"/>
        <w:tab w:val="right" w:pos="9072"/>
      </w:tabs>
    </w:pPr>
  </w:style>
  <w:style w:type="character" w:customStyle="1" w:styleId="HeaderChar">
    <w:name w:val="Header Char"/>
    <w:basedOn w:val="DefaultParagraphFont"/>
    <w:link w:val="Header"/>
    <w:rsid w:val="00095123"/>
    <w:rPr>
      <w:rFonts w:ascii="Arial" w:hAnsi="Arial"/>
      <w:sz w:val="22"/>
      <w:szCs w:val="24"/>
      <w:lang w:eastAsia="en-US"/>
    </w:rPr>
  </w:style>
  <w:style w:type="paragraph" w:styleId="Footer">
    <w:name w:val="footer"/>
    <w:basedOn w:val="Normal"/>
    <w:link w:val="FooterChar"/>
    <w:rsid w:val="00095123"/>
    <w:pPr>
      <w:tabs>
        <w:tab w:val="center" w:pos="4536"/>
        <w:tab w:val="right" w:pos="9072"/>
      </w:tabs>
    </w:pPr>
  </w:style>
  <w:style w:type="character" w:customStyle="1" w:styleId="FooterChar">
    <w:name w:val="Footer Char"/>
    <w:basedOn w:val="DefaultParagraphFont"/>
    <w:link w:val="Footer"/>
    <w:rsid w:val="00095123"/>
    <w:rPr>
      <w:rFonts w:ascii="Arial" w:hAnsi="Arial"/>
      <w:sz w:val="22"/>
      <w:szCs w:val="24"/>
      <w:lang w:eastAsia="en-US"/>
    </w:rPr>
  </w:style>
  <w:style w:type="character" w:styleId="PageNumber">
    <w:name w:val="page number"/>
    <w:basedOn w:val="DefaultParagraphFont"/>
    <w:rsid w:val="00095123"/>
  </w:style>
  <w:style w:type="paragraph" w:styleId="BalloonText">
    <w:name w:val="Balloon Text"/>
    <w:basedOn w:val="Normal"/>
    <w:link w:val="BalloonTextChar"/>
    <w:rsid w:val="00095123"/>
    <w:rPr>
      <w:rFonts w:ascii="Tahoma" w:hAnsi="Tahoma" w:cs="Tahoma"/>
      <w:sz w:val="16"/>
      <w:szCs w:val="16"/>
    </w:rPr>
  </w:style>
  <w:style w:type="character" w:customStyle="1" w:styleId="BalloonTextChar">
    <w:name w:val="Balloon Text Char"/>
    <w:basedOn w:val="DefaultParagraphFont"/>
    <w:link w:val="BalloonText"/>
    <w:rsid w:val="0009512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5123"/>
    <w:rPr>
      <w:rFonts w:ascii="Arial" w:hAnsi="Arial"/>
      <w:sz w:val="22"/>
      <w:szCs w:val="24"/>
      <w:lang w:eastAsia="en-US"/>
    </w:rPr>
  </w:style>
  <w:style w:type="paragraph" w:styleId="Heading6">
    <w:name w:val="heading 6"/>
    <w:basedOn w:val="Normal"/>
    <w:next w:val="Normal"/>
    <w:link w:val="Heading6Char"/>
    <w:qFormat/>
    <w:rsid w:val="00095123"/>
    <w:pPr>
      <w:spacing w:before="240" w:after="60"/>
      <w:outlineLvl w:val="5"/>
    </w:pPr>
    <w:rPr>
      <w:rFonts w:ascii="Times New Roman" w:hAnsi="Times New Roman"/>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character" w:customStyle="1" w:styleId="Heading6Char">
    <w:name w:val="Heading 6 Char"/>
    <w:basedOn w:val="DefaultParagraphFont"/>
    <w:link w:val="Heading6"/>
    <w:rsid w:val="00095123"/>
    <w:rPr>
      <w:b/>
      <w:bCs/>
      <w:sz w:val="22"/>
      <w:szCs w:val="22"/>
      <w:lang w:eastAsia="en-US"/>
    </w:rPr>
  </w:style>
  <w:style w:type="paragraph" w:styleId="BodyText3">
    <w:name w:val="Body Text 3"/>
    <w:basedOn w:val="Normal"/>
    <w:link w:val="BodyText3Char"/>
    <w:rsid w:val="00095123"/>
    <w:pPr>
      <w:ind w:right="29"/>
      <w:jc w:val="both"/>
    </w:pPr>
    <w:rPr>
      <w:rFonts w:ascii="Times New Roman" w:hAnsi="Times New Roman"/>
      <w:sz w:val="24"/>
      <w:szCs w:val="20"/>
      <w:lang w:val="en-AU"/>
    </w:rPr>
  </w:style>
  <w:style w:type="character" w:customStyle="1" w:styleId="BodyText3Char">
    <w:name w:val="Body Text 3 Char"/>
    <w:basedOn w:val="DefaultParagraphFont"/>
    <w:link w:val="BodyText3"/>
    <w:rsid w:val="00095123"/>
    <w:rPr>
      <w:sz w:val="24"/>
      <w:lang w:val="en-AU" w:eastAsia="en-US"/>
    </w:rPr>
  </w:style>
  <w:style w:type="paragraph" w:styleId="FootnoteText">
    <w:name w:val="footnote text"/>
    <w:basedOn w:val="Normal"/>
    <w:link w:val="FootnoteTextChar"/>
    <w:rsid w:val="00095123"/>
    <w:rPr>
      <w:rFonts w:ascii="Times New Roman" w:hAnsi="Times New Roman"/>
      <w:sz w:val="20"/>
      <w:szCs w:val="20"/>
    </w:rPr>
  </w:style>
  <w:style w:type="character" w:customStyle="1" w:styleId="FootnoteTextChar">
    <w:name w:val="Footnote Text Char"/>
    <w:basedOn w:val="DefaultParagraphFont"/>
    <w:link w:val="FootnoteText"/>
    <w:rsid w:val="00095123"/>
    <w:rPr>
      <w:lang w:eastAsia="en-US"/>
    </w:rPr>
  </w:style>
  <w:style w:type="character" w:styleId="Hyperlink">
    <w:name w:val="Hyperlink"/>
    <w:rsid w:val="00095123"/>
    <w:rPr>
      <w:color w:val="0000FF"/>
      <w:u w:val="single"/>
    </w:rPr>
  </w:style>
  <w:style w:type="character" w:styleId="FootnoteReference">
    <w:name w:val="footnote reference"/>
    <w:rsid w:val="00095123"/>
    <w:rPr>
      <w:vertAlign w:val="superscript"/>
    </w:rPr>
  </w:style>
  <w:style w:type="paragraph" w:styleId="Header">
    <w:name w:val="header"/>
    <w:basedOn w:val="Normal"/>
    <w:link w:val="HeaderChar"/>
    <w:rsid w:val="00095123"/>
    <w:pPr>
      <w:tabs>
        <w:tab w:val="center" w:pos="4536"/>
        <w:tab w:val="right" w:pos="9072"/>
      </w:tabs>
    </w:pPr>
  </w:style>
  <w:style w:type="character" w:customStyle="1" w:styleId="HeaderChar">
    <w:name w:val="Header Char"/>
    <w:basedOn w:val="DefaultParagraphFont"/>
    <w:link w:val="Header"/>
    <w:rsid w:val="00095123"/>
    <w:rPr>
      <w:rFonts w:ascii="Arial" w:hAnsi="Arial"/>
      <w:sz w:val="22"/>
      <w:szCs w:val="24"/>
      <w:lang w:eastAsia="en-US"/>
    </w:rPr>
  </w:style>
  <w:style w:type="paragraph" w:styleId="Footer">
    <w:name w:val="footer"/>
    <w:basedOn w:val="Normal"/>
    <w:link w:val="FooterChar"/>
    <w:rsid w:val="00095123"/>
    <w:pPr>
      <w:tabs>
        <w:tab w:val="center" w:pos="4536"/>
        <w:tab w:val="right" w:pos="9072"/>
      </w:tabs>
    </w:pPr>
  </w:style>
  <w:style w:type="character" w:customStyle="1" w:styleId="FooterChar">
    <w:name w:val="Footer Char"/>
    <w:basedOn w:val="DefaultParagraphFont"/>
    <w:link w:val="Footer"/>
    <w:rsid w:val="00095123"/>
    <w:rPr>
      <w:rFonts w:ascii="Arial" w:hAnsi="Arial"/>
      <w:sz w:val="22"/>
      <w:szCs w:val="24"/>
      <w:lang w:eastAsia="en-US"/>
    </w:rPr>
  </w:style>
  <w:style w:type="character" w:styleId="PageNumber">
    <w:name w:val="page number"/>
    <w:basedOn w:val="DefaultParagraphFont"/>
    <w:rsid w:val="00095123"/>
  </w:style>
  <w:style w:type="paragraph" w:styleId="BalloonText">
    <w:name w:val="Balloon Text"/>
    <w:basedOn w:val="Normal"/>
    <w:link w:val="BalloonTextChar"/>
    <w:rsid w:val="00095123"/>
    <w:rPr>
      <w:rFonts w:ascii="Tahoma" w:hAnsi="Tahoma" w:cs="Tahoma"/>
      <w:sz w:val="16"/>
      <w:szCs w:val="16"/>
    </w:rPr>
  </w:style>
  <w:style w:type="character" w:customStyle="1" w:styleId="BalloonTextChar">
    <w:name w:val="Balloon Text Char"/>
    <w:basedOn w:val="DefaultParagraphFont"/>
    <w:link w:val="BalloonText"/>
    <w:rsid w:val="0009512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65805">
      <w:bodyDiv w:val="1"/>
      <w:marLeft w:val="0"/>
      <w:marRight w:val="0"/>
      <w:marTop w:val="0"/>
      <w:marBottom w:val="0"/>
      <w:divBdr>
        <w:top w:val="none" w:sz="0" w:space="0" w:color="auto"/>
        <w:left w:val="none" w:sz="0" w:space="0" w:color="auto"/>
        <w:bottom w:val="none" w:sz="0" w:space="0" w:color="auto"/>
        <w:right w:val="none" w:sz="0" w:space="0" w:color="auto"/>
      </w:divBdr>
    </w:div>
    <w:div w:id="466320843">
      <w:bodyDiv w:val="1"/>
      <w:marLeft w:val="0"/>
      <w:marRight w:val="0"/>
      <w:marTop w:val="0"/>
      <w:marBottom w:val="0"/>
      <w:divBdr>
        <w:top w:val="none" w:sz="0" w:space="0" w:color="auto"/>
        <w:left w:val="none" w:sz="0" w:space="0" w:color="auto"/>
        <w:bottom w:val="none" w:sz="0" w:space="0" w:color="auto"/>
        <w:right w:val="none" w:sz="0" w:space="0" w:color="auto"/>
      </w:divBdr>
    </w:div>
    <w:div w:id="1533228968">
      <w:bodyDiv w:val="1"/>
      <w:marLeft w:val="0"/>
      <w:marRight w:val="0"/>
      <w:marTop w:val="0"/>
      <w:marBottom w:val="0"/>
      <w:divBdr>
        <w:top w:val="none" w:sz="0" w:space="0" w:color="auto"/>
        <w:left w:val="none" w:sz="0" w:space="0" w:color="auto"/>
        <w:bottom w:val="none" w:sz="0" w:space="0" w:color="auto"/>
        <w:right w:val="none" w:sz="0" w:space="0" w:color="auto"/>
      </w:divBdr>
    </w:div>
    <w:div w:id="167353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bb.org.t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kbb.org.t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9923F-C5E3-4B69-8644-A08517199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1065</Words>
  <Characters>6074</Characters>
  <Application>Microsoft Office Word</Application>
  <DocSecurity>0</DocSecurity>
  <Lines>50</Lines>
  <Paragraphs>14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TBB</Company>
  <LinksUpToDate>false</LinksUpToDate>
  <CharactersWithSpaces>7125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Sirin Mutluturk</dc:creator>
  <cp:lastModifiedBy>alpan</cp:lastModifiedBy>
  <cp:revision>8</cp:revision>
  <cp:lastPrinted>2011-12-01T12:28:00Z</cp:lastPrinted>
  <dcterms:created xsi:type="dcterms:W3CDTF">2011-12-01T15:21:00Z</dcterms:created>
  <dcterms:modified xsi:type="dcterms:W3CDTF">2011-12-02T08:59:00Z</dcterms:modified>
</cp:coreProperties>
</file>